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A9F6" w14:textId="4A9D2680" w:rsidR="0093517B" w:rsidRPr="00373081" w:rsidRDefault="00167AF2" w:rsidP="0093517B">
      <w:pPr>
        <w:spacing w:after="0"/>
        <w:contextualSpacing/>
        <w:rPr>
          <w:rFonts w:ascii="Grifo S" w:hAnsi="Grifo S" w:cs="Segoe UI"/>
          <w:b/>
          <w:sz w:val="14"/>
        </w:rPr>
      </w:pPr>
      <w:r>
        <w:rPr>
          <w:rFonts w:ascii="Grifo S" w:hAnsi="Grifo S" w:cs="Segoe UI"/>
          <w:b/>
          <w:sz w:val="48"/>
        </w:rPr>
        <w:t>CALDER GROUP (2001) PENSION SCHEME</w:t>
      </w:r>
      <w:r w:rsidR="00E342F2">
        <w:rPr>
          <w:rFonts w:ascii="Grifo S" w:hAnsi="Grifo S" w:cs="Segoe UI"/>
          <w:b/>
          <w:sz w:val="48"/>
        </w:rPr>
        <w:t xml:space="preserve"> (“the Scheme”)</w:t>
      </w:r>
    </w:p>
    <w:p w14:paraId="0F66EE47" w14:textId="71369DD3" w:rsidR="0093517B" w:rsidRDefault="0093517B" w:rsidP="0093517B">
      <w:pPr>
        <w:spacing w:after="0"/>
        <w:contextualSpacing/>
        <w:rPr>
          <w:rFonts w:ascii="Grifo S" w:hAnsi="Grifo S" w:cs="Segoe UI"/>
          <w:b/>
          <w:sz w:val="48"/>
        </w:rPr>
      </w:pPr>
      <w:r w:rsidRPr="00EC033A">
        <w:rPr>
          <w:rFonts w:ascii="Grifo S" w:hAnsi="Grifo S" w:cs="Segoe UI"/>
          <w:b/>
          <w:sz w:val="48"/>
        </w:rPr>
        <w:t>E</w:t>
      </w:r>
      <w:r>
        <w:rPr>
          <w:rFonts w:ascii="Grifo S" w:hAnsi="Grifo S" w:cs="Segoe UI"/>
          <w:b/>
          <w:sz w:val="48"/>
        </w:rPr>
        <w:t xml:space="preserve">ngagement Policy Implementation Statement </w:t>
      </w:r>
      <w:r w:rsidR="00860477">
        <w:rPr>
          <w:rFonts w:ascii="Grifo S" w:hAnsi="Grifo S" w:cs="Segoe UI"/>
          <w:b/>
          <w:sz w:val="48"/>
        </w:rPr>
        <w:t>(“the Statement”)</w:t>
      </w:r>
    </w:p>
    <w:p w14:paraId="7ACFDE33" w14:textId="629E9801" w:rsidR="00373081" w:rsidRPr="00373081" w:rsidRDefault="00E512F4" w:rsidP="0093517B">
      <w:pPr>
        <w:spacing w:after="0"/>
        <w:contextualSpacing/>
        <w:rPr>
          <w:rFonts w:ascii="Grifo S" w:hAnsi="Grifo S" w:cs="Segoe UI"/>
          <w:b/>
          <w:sz w:val="32"/>
          <w:szCs w:val="32"/>
        </w:rPr>
      </w:pPr>
      <w:r>
        <w:rPr>
          <w:rFonts w:ascii="Grifo S" w:hAnsi="Grifo S" w:cs="Segoe UI"/>
          <w:b/>
          <w:sz w:val="32"/>
          <w:szCs w:val="32"/>
        </w:rPr>
        <w:t xml:space="preserve">Financial Year Ending </w:t>
      </w:r>
      <w:r w:rsidR="00167AF2">
        <w:rPr>
          <w:rFonts w:ascii="Grifo S" w:hAnsi="Grifo S" w:cs="Segoe UI"/>
          <w:b/>
          <w:sz w:val="32"/>
          <w:szCs w:val="32"/>
        </w:rPr>
        <w:t>5</w:t>
      </w:r>
      <w:r w:rsidR="00167AF2" w:rsidRPr="00167AF2">
        <w:rPr>
          <w:rFonts w:ascii="Grifo S" w:hAnsi="Grifo S" w:cs="Segoe UI"/>
          <w:b/>
          <w:sz w:val="32"/>
          <w:szCs w:val="32"/>
          <w:vertAlign w:val="superscript"/>
        </w:rPr>
        <w:t>th</w:t>
      </w:r>
      <w:r w:rsidR="00167AF2">
        <w:rPr>
          <w:rFonts w:ascii="Grifo S" w:hAnsi="Grifo S" w:cs="Segoe UI"/>
          <w:b/>
          <w:sz w:val="32"/>
          <w:szCs w:val="32"/>
        </w:rPr>
        <w:t xml:space="preserve"> April</w:t>
      </w:r>
      <w:r w:rsidR="005677A4" w:rsidRPr="00504FAA">
        <w:rPr>
          <w:rFonts w:ascii="Grifo S" w:hAnsi="Grifo S" w:cs="Segoe UI"/>
          <w:b/>
          <w:sz w:val="32"/>
          <w:szCs w:val="32"/>
        </w:rPr>
        <w:t xml:space="preserve"> </w:t>
      </w:r>
      <w:r w:rsidR="007560FD" w:rsidRPr="00504FAA">
        <w:rPr>
          <w:rFonts w:ascii="Grifo S" w:hAnsi="Grifo S" w:cs="Segoe UI"/>
          <w:b/>
          <w:sz w:val="32"/>
          <w:szCs w:val="32"/>
        </w:rPr>
        <w:t>202</w:t>
      </w:r>
      <w:r w:rsidR="007560FD">
        <w:rPr>
          <w:rFonts w:ascii="Grifo S" w:hAnsi="Grifo S" w:cs="Segoe UI"/>
          <w:b/>
          <w:sz w:val="32"/>
          <w:szCs w:val="32"/>
        </w:rPr>
        <w:t>5</w:t>
      </w:r>
    </w:p>
    <w:p w14:paraId="138C4483" w14:textId="6E220611" w:rsidR="009D2EB6" w:rsidRPr="0093517B" w:rsidRDefault="009D2EB6" w:rsidP="009C7273">
      <w:pPr>
        <w:rPr>
          <w:b/>
          <w:color w:val="auto"/>
          <w:u w:val="single"/>
        </w:rPr>
      </w:pPr>
    </w:p>
    <w:p w14:paraId="072D2458" w14:textId="77777777" w:rsidR="009C7273" w:rsidRPr="00F24D4B" w:rsidRDefault="009C7273" w:rsidP="00F24D4B">
      <w:pPr>
        <w:pStyle w:val="ListNumber"/>
        <w:rPr>
          <w:rFonts w:ascii="Arial" w:hAnsi="Arial" w:cs="Arial"/>
          <w:b/>
          <w:bCs/>
          <w:color w:val="003865" w:themeColor="text1"/>
          <w:sz w:val="20"/>
        </w:rPr>
      </w:pPr>
      <w:r w:rsidRPr="00F24D4B">
        <w:rPr>
          <w:b/>
          <w:bCs/>
          <w:color w:val="003865" w:themeColor="text1"/>
        </w:rPr>
        <w:t>Introduction</w:t>
      </w:r>
      <w:r w:rsidR="0093517B" w:rsidRPr="00F24D4B">
        <w:rPr>
          <w:rFonts w:ascii="Arial" w:hAnsi="Arial" w:cs="Arial"/>
          <w:b/>
          <w:bCs/>
          <w:color w:val="003865" w:themeColor="text1"/>
          <w:sz w:val="20"/>
        </w:rPr>
        <w:t xml:space="preserve"> </w:t>
      </w:r>
    </w:p>
    <w:p w14:paraId="69D7F3C5" w14:textId="0532B7E1" w:rsidR="009C7273" w:rsidRPr="0093517B" w:rsidRDefault="009C7273" w:rsidP="00F342E2">
      <w:pPr>
        <w:spacing w:before="120" w:after="0" w:line="280" w:lineRule="atLeast"/>
        <w:jc w:val="both"/>
        <w:rPr>
          <w:color w:val="003865" w:themeColor="text1"/>
        </w:rPr>
      </w:pPr>
      <w:r w:rsidRPr="00E42B10">
        <w:rPr>
          <w:color w:val="003865" w:themeColor="text1"/>
        </w:rPr>
        <w:t xml:space="preserve">This statement sets out how, and the extent to which, the </w:t>
      </w:r>
      <w:r w:rsidR="005243A9" w:rsidRPr="00E42B10">
        <w:rPr>
          <w:color w:val="003865" w:themeColor="text1"/>
        </w:rPr>
        <w:t>Stewardship policy</w:t>
      </w:r>
      <w:r w:rsidRPr="00E42B10">
        <w:rPr>
          <w:color w:val="003865" w:themeColor="text1"/>
        </w:rPr>
        <w:t xml:space="preserve"> in the Statement of Investment Principles </w:t>
      </w:r>
      <w:r w:rsidR="00E9238F">
        <w:rPr>
          <w:color w:val="003865" w:themeColor="text1"/>
        </w:rPr>
        <w:t>(“SIP”</w:t>
      </w:r>
      <w:r w:rsidR="00C61C49" w:rsidRPr="00E42B10">
        <w:rPr>
          <w:color w:val="003865" w:themeColor="text1"/>
        </w:rPr>
        <w:t xml:space="preserve">) produced by the </w:t>
      </w:r>
      <w:r w:rsidR="00167AF2">
        <w:rPr>
          <w:color w:val="003865" w:themeColor="text1"/>
        </w:rPr>
        <w:t>Trustee</w:t>
      </w:r>
      <w:r w:rsidR="00084340" w:rsidRPr="00E42B10">
        <w:rPr>
          <w:color w:val="003865" w:themeColor="text1"/>
        </w:rPr>
        <w:t xml:space="preserve"> </w:t>
      </w:r>
      <w:r w:rsidR="00373081" w:rsidRPr="00E42B10">
        <w:rPr>
          <w:color w:val="003865" w:themeColor="text1"/>
        </w:rPr>
        <w:t>ha</w:t>
      </w:r>
      <w:r w:rsidR="00690DE3">
        <w:rPr>
          <w:color w:val="003865" w:themeColor="text1"/>
        </w:rPr>
        <w:t>s</w:t>
      </w:r>
      <w:r w:rsidRPr="00E42B10">
        <w:rPr>
          <w:color w:val="003865" w:themeColor="text1"/>
        </w:rPr>
        <w:t xml:space="preserve"> been followed during the year </w:t>
      </w:r>
      <w:r w:rsidRPr="004F2DC8">
        <w:rPr>
          <w:color w:val="003865" w:themeColor="text1"/>
        </w:rPr>
        <w:t xml:space="preserve">to </w:t>
      </w:r>
      <w:r w:rsidR="00167AF2">
        <w:rPr>
          <w:color w:val="003865" w:themeColor="text1"/>
        </w:rPr>
        <w:t>5</w:t>
      </w:r>
      <w:r w:rsidR="009A42BC" w:rsidRPr="004F2DC8">
        <w:rPr>
          <w:color w:val="003865" w:themeColor="text1"/>
        </w:rPr>
        <w:t xml:space="preserve"> </w:t>
      </w:r>
      <w:r w:rsidR="00167AF2">
        <w:rPr>
          <w:color w:val="003865" w:themeColor="text1"/>
        </w:rPr>
        <w:t xml:space="preserve">April </w:t>
      </w:r>
      <w:r w:rsidR="005677A4" w:rsidRPr="004F2DC8">
        <w:rPr>
          <w:color w:val="003865" w:themeColor="text1"/>
        </w:rPr>
        <w:t>202</w:t>
      </w:r>
      <w:r w:rsidR="00FB2862">
        <w:rPr>
          <w:color w:val="003865" w:themeColor="text1"/>
        </w:rPr>
        <w:t>5</w:t>
      </w:r>
      <w:r w:rsidRPr="00E42B10">
        <w:rPr>
          <w:color w:val="003865" w:themeColor="text1"/>
        </w:rPr>
        <w:t xml:space="preserve">.  </w:t>
      </w:r>
      <w:r w:rsidR="00E42B10" w:rsidRPr="00E42B10">
        <w:rPr>
          <w:color w:val="003865" w:themeColor="text1"/>
        </w:rPr>
        <w:t xml:space="preserve">This statement has been produced in accordance with The Pension Protection Fund (Pensionable Service) and Occupational Pension Schemes (Investment and Disclosure) (Amendment and Modification) Regulations 2019 and the guidance published by the </w:t>
      </w:r>
      <w:r w:rsidR="0083552C" w:rsidRPr="0083552C">
        <w:rPr>
          <w:color w:val="003865" w:themeColor="text1"/>
        </w:rPr>
        <w:t>Department for Work and Pensions</w:t>
      </w:r>
      <w:r w:rsidR="00E42B10" w:rsidRPr="00E42B10">
        <w:rPr>
          <w:color w:val="003865" w:themeColor="text1"/>
        </w:rPr>
        <w:t>.</w:t>
      </w:r>
    </w:p>
    <w:p w14:paraId="1EA8BABE" w14:textId="77777777" w:rsidR="00680710" w:rsidRPr="00680710" w:rsidRDefault="00680710" w:rsidP="00F24D4B">
      <w:pPr>
        <w:spacing w:before="240" w:after="0" w:line="280" w:lineRule="atLeast"/>
        <w:jc w:val="both"/>
        <w:rPr>
          <w:rFonts w:ascii="Arial" w:hAnsi="Arial" w:cs="Arial"/>
          <w:b/>
          <w:color w:val="00AFD7"/>
          <w:sz w:val="20"/>
        </w:rPr>
      </w:pPr>
      <w:r w:rsidRPr="00947E58">
        <w:rPr>
          <w:b/>
          <w:u w:val="single"/>
        </w:rPr>
        <w:t>Investment Objective</w:t>
      </w:r>
      <w:r w:rsidR="006E79F0" w:rsidRPr="00947E58">
        <w:rPr>
          <w:b/>
          <w:u w:val="single"/>
        </w:rPr>
        <w:t>s</w:t>
      </w:r>
      <w:r w:rsidR="00947E58">
        <w:rPr>
          <w:b/>
          <w:u w:val="single"/>
        </w:rPr>
        <w:t xml:space="preserve"> of the </w:t>
      </w:r>
      <w:r w:rsidR="00373081">
        <w:rPr>
          <w:b/>
          <w:u w:val="single"/>
        </w:rPr>
        <w:t>Scheme</w:t>
      </w:r>
    </w:p>
    <w:p w14:paraId="3F0D7F58" w14:textId="25F671BE" w:rsidR="00167AF2" w:rsidRPr="00167AF2" w:rsidRDefault="00167AF2" w:rsidP="00167AF2">
      <w:pPr>
        <w:spacing w:before="120" w:after="0" w:line="280" w:lineRule="atLeast"/>
        <w:jc w:val="both"/>
        <w:rPr>
          <w:color w:val="003865" w:themeColor="text1"/>
        </w:rPr>
      </w:pPr>
      <w:r w:rsidRPr="00167AF2">
        <w:rPr>
          <w:color w:val="003865" w:themeColor="text1"/>
        </w:rPr>
        <w:t xml:space="preserve">The Trustee’s primary investment objective for the Scheme is to achieve an overall rate of return that is sufficient to ensure that assets are available to meet all liabilities as and when they fall due. </w:t>
      </w:r>
    </w:p>
    <w:p w14:paraId="03DB20F9" w14:textId="77777777" w:rsidR="00167AF2" w:rsidRPr="00167AF2" w:rsidRDefault="00167AF2" w:rsidP="00167AF2">
      <w:pPr>
        <w:spacing w:before="120" w:after="0" w:line="280" w:lineRule="atLeast"/>
        <w:jc w:val="both"/>
        <w:rPr>
          <w:color w:val="003865" w:themeColor="text1"/>
        </w:rPr>
      </w:pPr>
      <w:r w:rsidRPr="00167AF2">
        <w:rPr>
          <w:color w:val="003865" w:themeColor="text1"/>
        </w:rPr>
        <w:t xml:space="preserve">In doing so, the Trustee aims to maximise returns at an acceptable level of risk taking into consideration the circumstances of the Scheme. </w:t>
      </w:r>
    </w:p>
    <w:p w14:paraId="39ECF321" w14:textId="4097B8E1" w:rsidR="00E356A1" w:rsidRDefault="00167AF2" w:rsidP="00167AF2">
      <w:pPr>
        <w:spacing w:before="120" w:after="0" w:line="280" w:lineRule="atLeast"/>
        <w:jc w:val="both"/>
        <w:rPr>
          <w:color w:val="003865" w:themeColor="text1"/>
        </w:rPr>
      </w:pPr>
      <w:r w:rsidRPr="00167AF2">
        <w:rPr>
          <w:color w:val="003865" w:themeColor="text1"/>
        </w:rPr>
        <w:t>The Trustee has also received confirmation from the Scheme Actuary during the process of revising the investment strategy that their investment objectives and the resultant investment strategy are consistent with the actuarial valuation methodology and assumptions used in the Statutory Funding Objective.</w:t>
      </w:r>
    </w:p>
    <w:p w14:paraId="23452905" w14:textId="49321E23" w:rsidR="00EE71C7" w:rsidRPr="00DE745C" w:rsidRDefault="00EE71C7" w:rsidP="00F24D4B">
      <w:pPr>
        <w:spacing w:before="240" w:after="0" w:line="276" w:lineRule="auto"/>
        <w:jc w:val="both"/>
        <w:rPr>
          <w:b/>
          <w:u w:val="single"/>
        </w:rPr>
      </w:pPr>
      <w:r>
        <w:rPr>
          <w:b/>
          <w:u w:val="single"/>
        </w:rPr>
        <w:t>Scheme’s Investment</w:t>
      </w:r>
      <w:r w:rsidRPr="00DE745C">
        <w:rPr>
          <w:b/>
          <w:u w:val="single"/>
        </w:rPr>
        <w:t xml:space="preserve"> Strategy</w:t>
      </w:r>
    </w:p>
    <w:p w14:paraId="537A2B77" w14:textId="75B65D46" w:rsidR="00167AF2" w:rsidRDefault="00EE71C7" w:rsidP="00F342E2">
      <w:pPr>
        <w:spacing w:before="120" w:after="0" w:line="280" w:lineRule="atLeast"/>
        <w:jc w:val="both"/>
        <w:rPr>
          <w:color w:val="003865" w:themeColor="text1"/>
        </w:rPr>
      </w:pPr>
      <w:r w:rsidRPr="00EE71C7">
        <w:rPr>
          <w:color w:val="003865" w:themeColor="text1"/>
        </w:rPr>
        <w:t>The Trustee has appointed Legal &amp; General Investment Management (LGIM)</w:t>
      </w:r>
      <w:r>
        <w:rPr>
          <w:color w:val="003865" w:themeColor="text1"/>
        </w:rPr>
        <w:t xml:space="preserve"> and </w:t>
      </w:r>
      <w:r w:rsidRPr="00EE71C7">
        <w:rPr>
          <w:color w:val="003865" w:themeColor="text1"/>
        </w:rPr>
        <w:t xml:space="preserve">Mercer Global Investments Europe Limited (MGIE) to manage the Scheme’s assets to specific individual mandates and with appropriate investment objectives and targets. As the Trustee invests in pooled investment vehicles, it accepts that it has no ability to specify the risk profile and return targets of each fund held, but appropriate mandates have been selected to align with the overall investment strategy and the investment manager </w:t>
      </w:r>
      <w:r w:rsidR="00674EF2">
        <w:rPr>
          <w:color w:val="003865" w:themeColor="text1"/>
        </w:rPr>
        <w:t xml:space="preserve">of each fund </w:t>
      </w:r>
      <w:r w:rsidRPr="00EE71C7">
        <w:rPr>
          <w:color w:val="003865" w:themeColor="text1"/>
        </w:rPr>
        <w:t>is incentivised to meet these objectives as not doing could potentially result in the Trustee disinvesting assets. LGIM is highly rated by Mercer Limited for its voting and engagement.</w:t>
      </w:r>
    </w:p>
    <w:p w14:paraId="56F11554" w14:textId="185F8349" w:rsidR="005A2190" w:rsidRDefault="00972A5F" w:rsidP="005A2190">
      <w:pPr>
        <w:spacing w:before="120" w:after="0" w:line="280" w:lineRule="atLeast"/>
        <w:jc w:val="both"/>
        <w:rPr>
          <w:color w:val="003865" w:themeColor="text1"/>
        </w:rPr>
      </w:pPr>
      <w:r>
        <w:rPr>
          <w:color w:val="003865" w:themeColor="text1"/>
        </w:rPr>
        <w:t>A</w:t>
      </w:r>
      <w:r w:rsidR="00664BD3">
        <w:rPr>
          <w:color w:val="003865" w:themeColor="text1"/>
        </w:rPr>
        <w:t>s</w:t>
      </w:r>
      <w:r>
        <w:rPr>
          <w:color w:val="003865" w:themeColor="text1"/>
        </w:rPr>
        <w:t xml:space="preserve"> of the year end, t</w:t>
      </w:r>
      <w:r w:rsidR="005A2190" w:rsidRPr="00167AF2">
        <w:rPr>
          <w:color w:val="003865" w:themeColor="text1"/>
        </w:rPr>
        <w:t xml:space="preserve">he investment strategy of the Scheme is split </w:t>
      </w:r>
      <w:r>
        <w:rPr>
          <w:color w:val="003865" w:themeColor="text1"/>
        </w:rPr>
        <w:t>25</w:t>
      </w:r>
      <w:r w:rsidR="005A2190" w:rsidRPr="00167AF2">
        <w:rPr>
          <w:color w:val="003865" w:themeColor="text1"/>
        </w:rPr>
        <w:t>% growth (</w:t>
      </w:r>
      <w:r>
        <w:rPr>
          <w:color w:val="003865" w:themeColor="text1"/>
        </w:rPr>
        <w:t>25</w:t>
      </w:r>
      <w:r w:rsidR="005A2190" w:rsidRPr="00167AF2">
        <w:rPr>
          <w:color w:val="003865" w:themeColor="text1"/>
        </w:rPr>
        <w:t>% MGIE Diversified Growth Fund</w:t>
      </w:r>
      <w:r w:rsidR="007666C0">
        <w:rPr>
          <w:color w:val="003865" w:themeColor="text1"/>
        </w:rPr>
        <w:t xml:space="preserve"> (“DGF”)</w:t>
      </w:r>
      <w:r w:rsidR="005A2190" w:rsidRPr="00167AF2">
        <w:rPr>
          <w:color w:val="003865" w:themeColor="text1"/>
        </w:rPr>
        <w:t xml:space="preserve">) / </w:t>
      </w:r>
      <w:r w:rsidR="005A2190">
        <w:rPr>
          <w:color w:val="003865" w:themeColor="text1"/>
        </w:rPr>
        <w:t>7</w:t>
      </w:r>
      <w:r>
        <w:rPr>
          <w:color w:val="003865" w:themeColor="text1"/>
        </w:rPr>
        <w:t>5</w:t>
      </w:r>
      <w:r w:rsidR="005A2190" w:rsidRPr="00167AF2">
        <w:rPr>
          <w:color w:val="003865" w:themeColor="text1"/>
        </w:rPr>
        <w:t>% matching (</w:t>
      </w:r>
      <w:r>
        <w:rPr>
          <w:color w:val="003865" w:themeColor="text1"/>
        </w:rPr>
        <w:t>49.0</w:t>
      </w:r>
      <w:r w:rsidR="005A2190">
        <w:rPr>
          <w:color w:val="003865" w:themeColor="text1"/>
        </w:rPr>
        <w:t xml:space="preserve">% MGIE Fixed and Index-Linked Gilts, </w:t>
      </w:r>
      <w:r w:rsidR="005A2190" w:rsidRPr="00167AF2">
        <w:rPr>
          <w:color w:val="003865" w:themeColor="text1"/>
        </w:rPr>
        <w:t>2</w:t>
      </w:r>
      <w:r>
        <w:rPr>
          <w:color w:val="003865" w:themeColor="text1"/>
        </w:rPr>
        <w:t>0.5</w:t>
      </w:r>
      <w:r w:rsidR="005A2190" w:rsidRPr="00167AF2">
        <w:rPr>
          <w:color w:val="003865" w:themeColor="text1"/>
        </w:rPr>
        <w:t xml:space="preserve">% LGIM Corporate Bonds </w:t>
      </w:r>
      <w:r>
        <w:rPr>
          <w:color w:val="003865" w:themeColor="text1"/>
        </w:rPr>
        <w:t>and 5.5</w:t>
      </w:r>
      <w:r w:rsidR="005A2190" w:rsidRPr="00167AF2">
        <w:rPr>
          <w:color w:val="003865" w:themeColor="text1"/>
        </w:rPr>
        <w:t>% LGIM Liability Driven Investment</w:t>
      </w:r>
      <w:r w:rsidR="00F2442E">
        <w:rPr>
          <w:color w:val="003865" w:themeColor="text1"/>
        </w:rPr>
        <w:t>s</w:t>
      </w:r>
      <w:r w:rsidR="005A2190" w:rsidRPr="00167AF2">
        <w:rPr>
          <w:color w:val="003865" w:themeColor="text1"/>
        </w:rPr>
        <w:t xml:space="preserve">). The strategy was </w:t>
      </w:r>
      <w:r w:rsidR="005A2190">
        <w:rPr>
          <w:color w:val="003865" w:themeColor="text1"/>
        </w:rPr>
        <w:t xml:space="preserve">de-risked </w:t>
      </w:r>
      <w:r w:rsidR="00674EF2">
        <w:rPr>
          <w:color w:val="003865" w:themeColor="text1"/>
        </w:rPr>
        <w:t>a couple of times</w:t>
      </w:r>
      <w:r>
        <w:rPr>
          <w:color w:val="003865" w:themeColor="text1"/>
        </w:rPr>
        <w:t xml:space="preserve"> </w:t>
      </w:r>
      <w:r w:rsidR="005A2190">
        <w:rPr>
          <w:color w:val="003865" w:themeColor="text1"/>
        </w:rPr>
        <w:t>during the year to 5 April 202</w:t>
      </w:r>
      <w:r>
        <w:rPr>
          <w:color w:val="003865" w:themeColor="text1"/>
        </w:rPr>
        <w:t>5</w:t>
      </w:r>
      <w:r w:rsidR="00674EF2">
        <w:rPr>
          <w:color w:val="003865" w:themeColor="text1"/>
        </w:rPr>
        <w:t xml:space="preserve">, first </w:t>
      </w:r>
      <w:r w:rsidR="005A2190">
        <w:rPr>
          <w:color w:val="003865" w:themeColor="text1"/>
        </w:rPr>
        <w:t xml:space="preserve">by </w:t>
      </w:r>
      <w:r w:rsidR="005A2190" w:rsidRPr="00167AF2">
        <w:rPr>
          <w:color w:val="003865" w:themeColor="text1"/>
        </w:rPr>
        <w:t>reduc</w:t>
      </w:r>
      <w:r w:rsidR="005A2190">
        <w:rPr>
          <w:color w:val="003865" w:themeColor="text1"/>
        </w:rPr>
        <w:t xml:space="preserve">ing the Scheme’s exposure to </w:t>
      </w:r>
      <w:r w:rsidR="005A2190" w:rsidRPr="00167AF2">
        <w:rPr>
          <w:color w:val="003865" w:themeColor="text1"/>
        </w:rPr>
        <w:t xml:space="preserve">growth </w:t>
      </w:r>
      <w:r w:rsidR="005A2190">
        <w:rPr>
          <w:color w:val="003865" w:themeColor="text1"/>
        </w:rPr>
        <w:t>assets and, consequently, increas</w:t>
      </w:r>
      <w:r w:rsidR="00DC0976">
        <w:rPr>
          <w:color w:val="003865" w:themeColor="text1"/>
        </w:rPr>
        <w:t>ing</w:t>
      </w:r>
      <w:r w:rsidR="005A2190">
        <w:rPr>
          <w:color w:val="003865" w:themeColor="text1"/>
        </w:rPr>
        <w:t xml:space="preserve"> the allocation to matching assets</w:t>
      </w:r>
      <w:r w:rsidR="005A2190" w:rsidRPr="00167AF2">
        <w:rPr>
          <w:color w:val="003865" w:themeColor="text1"/>
        </w:rPr>
        <w:t>.</w:t>
      </w:r>
      <w:r w:rsidR="005A2190">
        <w:rPr>
          <w:color w:val="003865" w:themeColor="text1"/>
        </w:rPr>
        <w:t xml:space="preserve"> </w:t>
      </w:r>
      <w:r>
        <w:rPr>
          <w:color w:val="003865" w:themeColor="text1"/>
        </w:rPr>
        <w:t xml:space="preserve">The Trustee also decided to reduce the exposure to corporate bonds by 10% of total Scheme assets, proceeds were invested </w:t>
      </w:r>
      <w:r w:rsidRPr="00972A5F">
        <w:rPr>
          <w:color w:val="003865" w:themeColor="text1"/>
        </w:rPr>
        <w:t xml:space="preserve">in a combination of short-dated and long-dated fixed interest gilts in such a way to </w:t>
      </w:r>
      <w:r>
        <w:rPr>
          <w:color w:val="003865" w:themeColor="text1"/>
        </w:rPr>
        <w:t>retain</w:t>
      </w:r>
      <w:r w:rsidRPr="00972A5F">
        <w:rPr>
          <w:color w:val="003865" w:themeColor="text1"/>
        </w:rPr>
        <w:t xml:space="preserve"> the </w:t>
      </w:r>
      <w:r>
        <w:rPr>
          <w:color w:val="003865" w:themeColor="text1"/>
        </w:rPr>
        <w:t xml:space="preserve">interest rate </w:t>
      </w:r>
      <w:r w:rsidRPr="00972A5F">
        <w:rPr>
          <w:color w:val="003865" w:themeColor="text1"/>
        </w:rPr>
        <w:t>duration exposure lost from the credit disinvestment</w:t>
      </w:r>
      <w:r w:rsidR="005A2190">
        <w:rPr>
          <w:color w:val="003865" w:themeColor="text1"/>
        </w:rPr>
        <w:t xml:space="preserve">. </w:t>
      </w:r>
    </w:p>
    <w:p w14:paraId="20D19880" w14:textId="77777777" w:rsidR="001137A2" w:rsidRDefault="001137A2" w:rsidP="005A2190">
      <w:pPr>
        <w:spacing w:before="120" w:after="0" w:line="280" w:lineRule="atLeast"/>
        <w:jc w:val="both"/>
        <w:rPr>
          <w:color w:val="003865" w:themeColor="text1"/>
        </w:rPr>
      </w:pPr>
    </w:p>
    <w:p w14:paraId="35F29DBC" w14:textId="7C361ECD" w:rsidR="001137A2" w:rsidRDefault="001137A2" w:rsidP="00F24D4B">
      <w:pPr>
        <w:jc w:val="both"/>
        <w:rPr>
          <w:b/>
          <w:color w:val="003865" w:themeColor="text1"/>
        </w:rPr>
      </w:pPr>
      <w:r w:rsidRPr="001137A2">
        <w:rPr>
          <w:b/>
          <w:color w:val="003865" w:themeColor="text1"/>
        </w:rPr>
        <w:lastRenderedPageBreak/>
        <w:t xml:space="preserve">Considering the analysis presented in </w:t>
      </w:r>
      <w:r>
        <w:rPr>
          <w:b/>
          <w:color w:val="003865" w:themeColor="text1"/>
        </w:rPr>
        <w:t>s</w:t>
      </w:r>
      <w:r w:rsidRPr="001137A2">
        <w:rPr>
          <w:b/>
          <w:color w:val="003865" w:themeColor="text1"/>
        </w:rPr>
        <w:t xml:space="preserve">ections </w:t>
      </w:r>
      <w:r>
        <w:rPr>
          <w:b/>
          <w:color w:val="003865" w:themeColor="text1"/>
        </w:rPr>
        <w:t>3</w:t>
      </w:r>
      <w:r w:rsidRPr="001137A2">
        <w:rPr>
          <w:b/>
          <w:color w:val="003865" w:themeColor="text1"/>
        </w:rPr>
        <w:t xml:space="preserve"> </w:t>
      </w:r>
      <w:r>
        <w:rPr>
          <w:b/>
          <w:color w:val="003865" w:themeColor="text1"/>
        </w:rPr>
        <w:t>to</w:t>
      </w:r>
      <w:r w:rsidRPr="001137A2">
        <w:rPr>
          <w:b/>
          <w:color w:val="003865" w:themeColor="text1"/>
        </w:rPr>
        <w:t xml:space="preserve"> </w:t>
      </w:r>
      <w:r>
        <w:rPr>
          <w:b/>
          <w:color w:val="003865" w:themeColor="text1"/>
        </w:rPr>
        <w:t>5</w:t>
      </w:r>
      <w:r w:rsidRPr="001137A2">
        <w:rPr>
          <w:b/>
          <w:color w:val="003865" w:themeColor="text1"/>
        </w:rPr>
        <w:t xml:space="preserve">, the Trustee can confirm that </w:t>
      </w:r>
      <w:r w:rsidRPr="00A400FD">
        <w:rPr>
          <w:b/>
          <w:color w:val="003865" w:themeColor="text1"/>
        </w:rPr>
        <w:t>all policies in the SIP on engagement in relation to the Scheme’s DB assets have been followed during the Scheme Year</w:t>
      </w:r>
      <w:r w:rsidRPr="001137A2">
        <w:rPr>
          <w:b/>
          <w:color w:val="003865" w:themeColor="text1"/>
        </w:rPr>
        <w:t>.</w:t>
      </w:r>
    </w:p>
    <w:p w14:paraId="2790E452" w14:textId="028257A4" w:rsidR="004E1F3C" w:rsidRPr="00F24D4B" w:rsidRDefault="006C0C5E" w:rsidP="00F24D4B">
      <w:pPr>
        <w:pStyle w:val="ListNumber"/>
        <w:rPr>
          <w:b/>
          <w:bCs/>
          <w:color w:val="003865" w:themeColor="text1"/>
        </w:rPr>
      </w:pPr>
      <w:r w:rsidRPr="00F24D4B">
        <w:rPr>
          <w:b/>
          <w:bCs/>
          <w:color w:val="003865" w:themeColor="text1"/>
        </w:rPr>
        <w:t xml:space="preserve">Review of </w:t>
      </w:r>
      <w:r w:rsidR="001137A2">
        <w:rPr>
          <w:b/>
          <w:bCs/>
          <w:color w:val="003865" w:themeColor="text1"/>
        </w:rPr>
        <w:t xml:space="preserve">the </w:t>
      </w:r>
      <w:r w:rsidRPr="00F24D4B">
        <w:rPr>
          <w:b/>
          <w:bCs/>
          <w:color w:val="003865" w:themeColor="text1"/>
        </w:rPr>
        <w:t>SIP</w:t>
      </w:r>
    </w:p>
    <w:p w14:paraId="745858CE" w14:textId="233C3C32" w:rsidR="0077366E" w:rsidRDefault="00167AF2" w:rsidP="00F24D4B">
      <w:pPr>
        <w:spacing w:before="120"/>
        <w:jc w:val="both"/>
        <w:rPr>
          <w:color w:val="003865" w:themeColor="text1"/>
        </w:rPr>
      </w:pPr>
      <w:r w:rsidRPr="00167AF2">
        <w:rPr>
          <w:color w:val="003865" w:themeColor="text1"/>
        </w:rPr>
        <w:t>The Scheme’s SIP</w:t>
      </w:r>
      <w:r w:rsidR="007666C0">
        <w:rPr>
          <w:color w:val="003865" w:themeColor="text1"/>
        </w:rPr>
        <w:t xml:space="preserve"> was updated</w:t>
      </w:r>
      <w:r w:rsidRPr="00167AF2">
        <w:rPr>
          <w:color w:val="003865" w:themeColor="text1"/>
        </w:rPr>
        <w:t xml:space="preserve"> </w:t>
      </w:r>
      <w:r w:rsidR="007666C0">
        <w:rPr>
          <w:color w:val="003865" w:themeColor="text1"/>
        </w:rPr>
        <w:t xml:space="preserve">twice over the year. The SIP was first updated </w:t>
      </w:r>
      <w:r w:rsidRPr="00167AF2">
        <w:rPr>
          <w:color w:val="003865" w:themeColor="text1"/>
        </w:rPr>
        <w:t>in Ma</w:t>
      </w:r>
      <w:r w:rsidR="001B3409">
        <w:rPr>
          <w:color w:val="003865" w:themeColor="text1"/>
        </w:rPr>
        <w:t>y</w:t>
      </w:r>
      <w:r w:rsidRPr="00167AF2">
        <w:rPr>
          <w:color w:val="003865" w:themeColor="text1"/>
        </w:rPr>
        <w:t xml:space="preserve"> 202</w:t>
      </w:r>
      <w:r w:rsidR="001B3409">
        <w:rPr>
          <w:color w:val="003865" w:themeColor="text1"/>
        </w:rPr>
        <w:t>4</w:t>
      </w:r>
      <w:r w:rsidR="005A2190">
        <w:rPr>
          <w:color w:val="003865" w:themeColor="text1"/>
        </w:rPr>
        <w:t>,</w:t>
      </w:r>
      <w:r w:rsidR="007666C0">
        <w:rPr>
          <w:color w:val="003865" w:themeColor="text1"/>
        </w:rPr>
        <w:t xml:space="preserve"> to reflect the decision to de-risk the investment strategy implemented in April 2024. </w:t>
      </w:r>
      <w:r w:rsidR="005A2190">
        <w:rPr>
          <w:color w:val="003865" w:themeColor="text1"/>
        </w:rPr>
        <w:t xml:space="preserve"> </w:t>
      </w:r>
      <w:r w:rsidR="007666C0">
        <w:rPr>
          <w:color w:val="003865" w:themeColor="text1"/>
        </w:rPr>
        <w:t xml:space="preserve">The SIP was again updated, in November 2024, to reflect two key changes: a) the 10% disinvestment from corporate bonds, with proceeds being invested in </w:t>
      </w:r>
      <w:r w:rsidR="00664BD3">
        <w:rPr>
          <w:color w:val="003865" w:themeColor="text1"/>
        </w:rPr>
        <w:t xml:space="preserve">short dated </w:t>
      </w:r>
      <w:r w:rsidR="007666C0">
        <w:rPr>
          <w:color w:val="003865" w:themeColor="text1"/>
        </w:rPr>
        <w:t xml:space="preserve">UK government bonds; and b) appendix B (cashflow and rebalancing policy) was updated to reflect that </w:t>
      </w:r>
      <w:r w:rsidR="007666C0" w:rsidRPr="007666C0">
        <w:rPr>
          <w:color w:val="003865" w:themeColor="text1"/>
        </w:rPr>
        <w:t>MGIE decided to stop offering fully GBP hedged and unhedged vehicles of the</w:t>
      </w:r>
      <w:r w:rsidR="007666C0">
        <w:rPr>
          <w:color w:val="003865" w:themeColor="text1"/>
        </w:rPr>
        <w:t>ir</w:t>
      </w:r>
      <w:r w:rsidR="007666C0" w:rsidRPr="007666C0">
        <w:rPr>
          <w:color w:val="003865" w:themeColor="text1"/>
        </w:rPr>
        <w:t xml:space="preserve"> DGF, in which the Scheme used to invest. MGIE moved to offering only a partially GBP hedged vehicle of the DGF</w:t>
      </w:r>
      <w:r w:rsidR="007666C0" w:rsidRPr="007666C0" w:rsidDel="001B3409">
        <w:rPr>
          <w:color w:val="003865" w:themeColor="text1"/>
        </w:rPr>
        <w:t xml:space="preserve"> </w:t>
      </w:r>
      <w:r w:rsidR="007666C0">
        <w:rPr>
          <w:color w:val="003865" w:themeColor="text1"/>
        </w:rPr>
        <w:t>and, therefore, regular investments or disinvestments related to cashflow requirements are to be sourced from this fund</w:t>
      </w:r>
      <w:r w:rsidRPr="00167AF2">
        <w:rPr>
          <w:color w:val="003865" w:themeColor="text1"/>
        </w:rPr>
        <w:t>.</w:t>
      </w:r>
      <w:r w:rsidR="005A2190">
        <w:rPr>
          <w:color w:val="003865" w:themeColor="text1"/>
        </w:rPr>
        <w:t xml:space="preserve"> </w:t>
      </w:r>
      <w:r w:rsidRPr="00167AF2">
        <w:rPr>
          <w:color w:val="003865" w:themeColor="text1"/>
        </w:rPr>
        <w:t xml:space="preserve"> The changes made to the Statement reflected the new investment Strategy and the changes set out above. </w:t>
      </w:r>
      <w:r w:rsidR="00EE71C7">
        <w:rPr>
          <w:color w:val="003865" w:themeColor="text1"/>
        </w:rPr>
        <w:t>The SIP can be found online at</w:t>
      </w:r>
      <w:r w:rsidR="007666C0">
        <w:rPr>
          <w:color w:val="003865" w:themeColor="text1"/>
        </w:rPr>
        <w:t xml:space="preserve">: </w:t>
      </w:r>
      <w:hyperlink r:id="rId11" w:history="1">
        <w:r w:rsidR="007666C0" w:rsidRPr="007666C0">
          <w:rPr>
            <w:rStyle w:val="Hyperlink"/>
          </w:rPr>
          <w:t>https://www.calderlead.co.uk/uploads/documentsearch/id60/24.05%20Calder%20SIP%20Update%20May%202024_clean%20-%20approved.pdf</w:t>
        </w:r>
      </w:hyperlink>
    </w:p>
    <w:p w14:paraId="56A9714D" w14:textId="77777777" w:rsidR="009C7273" w:rsidRPr="00F24D4B" w:rsidRDefault="009C7273" w:rsidP="00F24D4B">
      <w:pPr>
        <w:pStyle w:val="ListNumber"/>
        <w:rPr>
          <w:b/>
          <w:bCs/>
          <w:color w:val="003865" w:themeColor="text1"/>
        </w:rPr>
      </w:pPr>
      <w:r w:rsidRPr="00F24D4B">
        <w:rPr>
          <w:b/>
          <w:bCs/>
          <w:color w:val="003865" w:themeColor="text1"/>
        </w:rPr>
        <w:t>Policy on ESG, Stewardship and Climate Change</w:t>
      </w:r>
    </w:p>
    <w:p w14:paraId="3D6C8B09" w14:textId="2BC56207" w:rsidR="00E356A1" w:rsidRDefault="00E356A1" w:rsidP="00F342E2">
      <w:pPr>
        <w:spacing w:before="120" w:after="0" w:line="280" w:lineRule="atLeast"/>
        <w:jc w:val="both"/>
        <w:rPr>
          <w:color w:val="003865" w:themeColor="text1"/>
        </w:rPr>
      </w:pPr>
      <w:r w:rsidRPr="00E356A1">
        <w:rPr>
          <w:color w:val="003865" w:themeColor="text1"/>
        </w:rPr>
        <w:t xml:space="preserve">The </w:t>
      </w:r>
      <w:r w:rsidR="00167AF2">
        <w:rPr>
          <w:color w:val="003865" w:themeColor="text1"/>
        </w:rPr>
        <w:t>Trustee</w:t>
      </w:r>
      <w:r w:rsidRPr="00E356A1">
        <w:rPr>
          <w:color w:val="003865" w:themeColor="text1"/>
        </w:rPr>
        <w:t xml:space="preserve"> understand</w:t>
      </w:r>
      <w:r w:rsidR="00167AF2">
        <w:rPr>
          <w:color w:val="003865" w:themeColor="text1"/>
        </w:rPr>
        <w:t>s</w:t>
      </w:r>
      <w:r w:rsidRPr="00E356A1">
        <w:rPr>
          <w:color w:val="003865" w:themeColor="text1"/>
        </w:rPr>
        <w:t xml:space="preserve"> that </w:t>
      </w:r>
      <w:r w:rsidR="00167AF2">
        <w:rPr>
          <w:color w:val="003865" w:themeColor="text1"/>
        </w:rPr>
        <w:t>it</w:t>
      </w:r>
      <w:r w:rsidRPr="00E356A1">
        <w:rPr>
          <w:color w:val="003865" w:themeColor="text1"/>
        </w:rPr>
        <w:t xml:space="preserve"> must aim to consider all factors that have the ability to impact the financial performance of the Scheme’s investments over the appropriate time horizon. This includes, but is not limited to, environmental, social and governance (</w:t>
      </w:r>
      <w:r w:rsidR="00E9238F">
        <w:rPr>
          <w:color w:val="003865" w:themeColor="text1"/>
        </w:rPr>
        <w:t>“</w:t>
      </w:r>
      <w:r w:rsidRPr="00E356A1">
        <w:rPr>
          <w:color w:val="003865" w:themeColor="text1"/>
        </w:rPr>
        <w:t>ESG</w:t>
      </w:r>
      <w:r w:rsidR="00E9238F">
        <w:rPr>
          <w:color w:val="003865" w:themeColor="text1"/>
        </w:rPr>
        <w:t>”</w:t>
      </w:r>
      <w:r w:rsidRPr="00E356A1">
        <w:rPr>
          <w:color w:val="003865" w:themeColor="text1"/>
        </w:rPr>
        <w:t>) factors.</w:t>
      </w:r>
    </w:p>
    <w:p w14:paraId="081EBFF9" w14:textId="0006FAD0" w:rsidR="00E9238F" w:rsidRDefault="00D02D1C" w:rsidP="00F342E2">
      <w:pPr>
        <w:spacing w:before="120" w:after="0" w:line="280" w:lineRule="atLeast"/>
        <w:jc w:val="both"/>
        <w:rPr>
          <w:color w:val="003865" w:themeColor="text1"/>
        </w:rPr>
      </w:pPr>
      <w:r w:rsidRPr="00DE745C">
        <w:rPr>
          <w:color w:val="003865" w:themeColor="text1"/>
        </w:rPr>
        <w:t xml:space="preserve">The </w:t>
      </w:r>
      <w:r w:rsidR="00373081">
        <w:rPr>
          <w:color w:val="003865" w:themeColor="text1"/>
        </w:rPr>
        <w:t xml:space="preserve">Scheme’s SIP includes the </w:t>
      </w:r>
      <w:r w:rsidR="00167AF2">
        <w:rPr>
          <w:color w:val="003865" w:themeColor="text1"/>
        </w:rPr>
        <w:t>Trustee</w:t>
      </w:r>
      <w:r w:rsidR="00373081">
        <w:rPr>
          <w:color w:val="003865" w:themeColor="text1"/>
        </w:rPr>
        <w:t>’</w:t>
      </w:r>
      <w:r w:rsidR="00167AF2">
        <w:rPr>
          <w:color w:val="003865" w:themeColor="text1"/>
        </w:rPr>
        <w:t>s</w:t>
      </w:r>
      <w:r w:rsidRPr="00DE745C">
        <w:rPr>
          <w:color w:val="003865" w:themeColor="text1"/>
        </w:rPr>
        <w:t xml:space="preserve"> </w:t>
      </w:r>
      <w:r w:rsidR="00FF4E45">
        <w:rPr>
          <w:color w:val="003865" w:themeColor="text1"/>
        </w:rPr>
        <w:t>policy on ESG factors, S</w:t>
      </w:r>
      <w:r w:rsidRPr="00DE745C">
        <w:rPr>
          <w:color w:val="003865" w:themeColor="text1"/>
        </w:rPr>
        <w:t xml:space="preserve">tewardship and Climate Change. </w:t>
      </w:r>
      <w:r w:rsidR="00675A0A" w:rsidRPr="0041275E">
        <w:rPr>
          <w:color w:val="003865" w:themeColor="text1"/>
        </w:rPr>
        <w:t>This pol</w:t>
      </w:r>
      <w:r w:rsidR="00675A0A">
        <w:rPr>
          <w:color w:val="003865" w:themeColor="text1"/>
        </w:rPr>
        <w:t xml:space="preserve">icy sets out the </w:t>
      </w:r>
      <w:r w:rsidR="00167AF2">
        <w:rPr>
          <w:color w:val="003865" w:themeColor="text1"/>
        </w:rPr>
        <w:t>Trustee</w:t>
      </w:r>
      <w:r w:rsidR="00675A0A">
        <w:rPr>
          <w:color w:val="003865" w:themeColor="text1"/>
        </w:rPr>
        <w:t>’</w:t>
      </w:r>
      <w:r w:rsidR="00167AF2">
        <w:rPr>
          <w:color w:val="003865" w:themeColor="text1"/>
        </w:rPr>
        <w:t>s</w:t>
      </w:r>
      <w:r w:rsidR="00675A0A">
        <w:rPr>
          <w:color w:val="003865" w:themeColor="text1"/>
        </w:rPr>
        <w:t xml:space="preserve"> </w:t>
      </w:r>
      <w:r w:rsidR="00675A0A" w:rsidRPr="0041275E">
        <w:rPr>
          <w:color w:val="003865" w:themeColor="text1"/>
        </w:rPr>
        <w:t>beliefs on ESG and climate change and the proc</w:t>
      </w:r>
      <w:r w:rsidR="00675A0A">
        <w:rPr>
          <w:color w:val="003865" w:themeColor="text1"/>
        </w:rPr>
        <w:t xml:space="preserve">esses followed by the </w:t>
      </w:r>
      <w:r w:rsidR="00167AF2">
        <w:rPr>
          <w:color w:val="003865" w:themeColor="text1"/>
        </w:rPr>
        <w:t>Trustee</w:t>
      </w:r>
      <w:r w:rsidR="00675A0A" w:rsidRPr="0041275E">
        <w:rPr>
          <w:color w:val="003865" w:themeColor="text1"/>
        </w:rPr>
        <w:t xml:space="preserve"> in relation to voting rights and stewardship.</w:t>
      </w:r>
      <w:r w:rsidRPr="00DE745C">
        <w:rPr>
          <w:color w:val="003865" w:themeColor="text1"/>
        </w:rPr>
        <w:t xml:space="preserve"> </w:t>
      </w:r>
      <w:r w:rsidR="00F2095B" w:rsidRPr="00DE745C">
        <w:rPr>
          <w:color w:val="003865" w:themeColor="text1"/>
        </w:rPr>
        <w:t xml:space="preserve">The </w:t>
      </w:r>
      <w:r w:rsidR="00167AF2">
        <w:rPr>
          <w:color w:val="003865" w:themeColor="text1"/>
        </w:rPr>
        <w:t>Trustee</w:t>
      </w:r>
      <w:r w:rsidR="00373081">
        <w:rPr>
          <w:color w:val="003865" w:themeColor="text1"/>
        </w:rPr>
        <w:t xml:space="preserve"> keep</w:t>
      </w:r>
      <w:r w:rsidR="00167AF2">
        <w:rPr>
          <w:color w:val="003865" w:themeColor="text1"/>
        </w:rPr>
        <w:t>s</w:t>
      </w:r>
      <w:r w:rsidR="00F2095B" w:rsidRPr="00DE745C">
        <w:rPr>
          <w:color w:val="003865" w:themeColor="text1"/>
        </w:rPr>
        <w:t xml:space="preserve"> </w:t>
      </w:r>
      <w:r w:rsidR="00167AF2">
        <w:rPr>
          <w:color w:val="003865" w:themeColor="text1"/>
        </w:rPr>
        <w:t>its</w:t>
      </w:r>
      <w:r w:rsidR="00F2095B" w:rsidRPr="00DE745C">
        <w:rPr>
          <w:color w:val="003865" w:themeColor="text1"/>
        </w:rPr>
        <w:t xml:space="preserve"> policies under regular review with the SIP subject to review at least triennially.</w:t>
      </w:r>
    </w:p>
    <w:p w14:paraId="426A01B5" w14:textId="15FC587B" w:rsidR="004A5C59" w:rsidRPr="004A5C59" w:rsidRDefault="004A5C59" w:rsidP="004A5C59">
      <w:pPr>
        <w:spacing w:before="120" w:after="0" w:line="280" w:lineRule="atLeast"/>
        <w:jc w:val="both"/>
        <w:rPr>
          <w:color w:val="003865" w:themeColor="text1"/>
        </w:rPr>
      </w:pPr>
      <w:r>
        <w:rPr>
          <w:color w:val="003865" w:themeColor="text1"/>
        </w:rPr>
        <w:t xml:space="preserve">As the Scheme is invested in multi-client pooled funds, </w:t>
      </w:r>
      <w:r w:rsidRPr="004A5C59">
        <w:rPr>
          <w:color w:val="003865" w:themeColor="text1"/>
        </w:rPr>
        <w:t>the Trustee acknowledges that they do not possess direct authority over the engagement or voting policies and arrangements of the managers</w:t>
      </w:r>
      <w:r>
        <w:rPr>
          <w:color w:val="003865" w:themeColor="text1"/>
        </w:rPr>
        <w:t xml:space="preserve">. </w:t>
      </w:r>
    </w:p>
    <w:p w14:paraId="6F5C8D15" w14:textId="5983E92B" w:rsidR="004A5C59" w:rsidRPr="00905032" w:rsidRDefault="004A5C59" w:rsidP="004A5C59">
      <w:pPr>
        <w:spacing w:before="120" w:after="0" w:line="280" w:lineRule="atLeast"/>
        <w:jc w:val="both"/>
        <w:rPr>
          <w:szCs w:val="22"/>
        </w:rPr>
      </w:pPr>
      <w:r w:rsidRPr="00905032">
        <w:rPr>
          <w:szCs w:val="22"/>
        </w:rPr>
        <w:t xml:space="preserve">Mercer’s publicly available </w:t>
      </w:r>
      <w:hyperlink r:id="rId12" w:history="1">
        <w:r w:rsidRPr="00905032">
          <w:rPr>
            <w:rStyle w:val="Hyperlink"/>
            <w:szCs w:val="22"/>
          </w:rPr>
          <w:t>Sustainability Policy</w:t>
        </w:r>
      </w:hyperlink>
      <w:r w:rsidRPr="00905032">
        <w:rPr>
          <w:szCs w:val="22"/>
        </w:rPr>
        <w:t xml:space="preserve"> outlines Mercer’s investment philosophy and how it addresses sustainability risks and opportunities, into the decision making process. The </w:t>
      </w:r>
      <w:hyperlink r:id="rId13" w:history="1">
        <w:r w:rsidRPr="00905032">
          <w:rPr>
            <w:rStyle w:val="Hyperlink"/>
            <w:szCs w:val="22"/>
          </w:rPr>
          <w:t>Stewardship Policy</w:t>
        </w:r>
      </w:hyperlink>
      <w:r w:rsidRPr="00905032">
        <w:rPr>
          <w:szCs w:val="22"/>
        </w:rPr>
        <w:t xml:space="preserve"> provides further details on Mercer’s implementation of stewardship practices</w:t>
      </w:r>
      <w:r w:rsidRPr="004A5C59">
        <w:rPr>
          <w:szCs w:val="22"/>
        </w:rPr>
        <w:t>. Mercer is a member of the Task Force for Nature Related Financial Disclosures (TNFD) working group and a founding signatory of Nature Action 100</w:t>
      </w:r>
      <w:r>
        <w:rPr>
          <w:szCs w:val="22"/>
        </w:rPr>
        <w:t xml:space="preserve">. </w:t>
      </w:r>
      <w:r w:rsidRPr="004A5C59">
        <w:rPr>
          <w:szCs w:val="22"/>
        </w:rPr>
        <w:t>The most recent UN Principles of Responsible Investment results (based on 2022 activity) awarded Mercer with 4 out of 5 stars for Policy Governance and Strategy. The United Nations Principles for Responsible Investment (UN PRI) is a global initiative that provides a framework for incorporating sustainability considerations into investment practices</w:t>
      </w:r>
      <w:r>
        <w:rPr>
          <w:szCs w:val="22"/>
        </w:rPr>
        <w:t xml:space="preserve">. </w:t>
      </w:r>
    </w:p>
    <w:p w14:paraId="1EB775EC" w14:textId="3E6B52C5" w:rsidR="00604481" w:rsidRDefault="004A7423" w:rsidP="00F24D4B">
      <w:pPr>
        <w:spacing w:before="120" w:line="280" w:lineRule="atLeast"/>
        <w:jc w:val="both"/>
        <w:rPr>
          <w:color w:val="003865" w:themeColor="text1"/>
        </w:rPr>
      </w:pPr>
      <w:r>
        <w:rPr>
          <w:color w:val="003865" w:themeColor="text1"/>
        </w:rPr>
        <w:t>Set out below is a summary of the</w:t>
      </w:r>
      <w:r w:rsidR="00675A0A" w:rsidRPr="0041275E">
        <w:rPr>
          <w:color w:val="003865" w:themeColor="text1"/>
        </w:rPr>
        <w:t xml:space="preserve"> work </w:t>
      </w:r>
      <w:r>
        <w:rPr>
          <w:color w:val="003865" w:themeColor="text1"/>
        </w:rPr>
        <w:t xml:space="preserve">that </w:t>
      </w:r>
      <w:r w:rsidR="00675A0A" w:rsidRPr="0041275E">
        <w:rPr>
          <w:color w:val="003865" w:themeColor="text1"/>
        </w:rPr>
        <w:t>was undertaken during the year</w:t>
      </w:r>
      <w:r w:rsidR="00675A0A">
        <w:rPr>
          <w:color w:val="003865" w:themeColor="text1"/>
        </w:rPr>
        <w:t xml:space="preserve"> relating to the </w:t>
      </w:r>
      <w:r w:rsidR="00167AF2">
        <w:rPr>
          <w:color w:val="003865" w:themeColor="text1"/>
        </w:rPr>
        <w:t>Trustee</w:t>
      </w:r>
      <w:r w:rsidR="00675A0A">
        <w:rPr>
          <w:color w:val="003865" w:themeColor="text1"/>
        </w:rPr>
        <w:t>’</w:t>
      </w:r>
      <w:r w:rsidR="00167AF2">
        <w:rPr>
          <w:color w:val="003865" w:themeColor="text1"/>
        </w:rPr>
        <w:t>s</w:t>
      </w:r>
      <w:r w:rsidR="00675A0A">
        <w:rPr>
          <w:color w:val="003865" w:themeColor="text1"/>
        </w:rPr>
        <w:t xml:space="preserve"> </w:t>
      </w:r>
      <w:r w:rsidR="00675A0A" w:rsidRPr="0041275E">
        <w:rPr>
          <w:color w:val="003865" w:themeColor="text1"/>
        </w:rPr>
        <w:t>policy on ESG factors, stewardship and climate change</w:t>
      </w:r>
      <w:r w:rsidR="00675A0A">
        <w:rPr>
          <w:color w:val="003865" w:themeColor="text1"/>
        </w:rPr>
        <w:t xml:space="preserve">, </w:t>
      </w:r>
      <w:r>
        <w:rPr>
          <w:color w:val="003865" w:themeColor="text1"/>
        </w:rPr>
        <w:t xml:space="preserve">as well as an overview of </w:t>
      </w:r>
      <w:r w:rsidR="00675A0A">
        <w:rPr>
          <w:color w:val="003865" w:themeColor="text1"/>
        </w:rPr>
        <w:t xml:space="preserve">how the </w:t>
      </w:r>
      <w:r w:rsidR="00167AF2">
        <w:rPr>
          <w:color w:val="003865" w:themeColor="text1"/>
        </w:rPr>
        <w:t>Trustee</w:t>
      </w:r>
      <w:r w:rsidR="00675A0A">
        <w:rPr>
          <w:color w:val="003865" w:themeColor="text1"/>
        </w:rPr>
        <w:t>’</w:t>
      </w:r>
      <w:r w:rsidR="00167AF2">
        <w:rPr>
          <w:color w:val="003865" w:themeColor="text1"/>
        </w:rPr>
        <w:t>s</w:t>
      </w:r>
      <w:r w:rsidR="00675A0A">
        <w:rPr>
          <w:color w:val="003865" w:themeColor="text1"/>
        </w:rPr>
        <w:t xml:space="preserve"> engagement and voting policies were followed and implemented during the year.</w:t>
      </w:r>
    </w:p>
    <w:p w14:paraId="79268BA8" w14:textId="5E64B5AF" w:rsidR="00675A0A" w:rsidRPr="00F24D4B" w:rsidRDefault="00621DBA" w:rsidP="00F24D4B">
      <w:pPr>
        <w:pStyle w:val="ListNumber"/>
        <w:rPr>
          <w:b/>
          <w:bCs/>
          <w:color w:val="003865" w:themeColor="text1"/>
        </w:rPr>
      </w:pPr>
      <w:r w:rsidRPr="00F24D4B">
        <w:rPr>
          <w:b/>
          <w:bCs/>
          <w:color w:val="003865" w:themeColor="text1"/>
        </w:rPr>
        <w:t>Engagement</w:t>
      </w:r>
    </w:p>
    <w:p w14:paraId="6984A290" w14:textId="6F08D908" w:rsidR="00675A0A" w:rsidRPr="00335E72" w:rsidRDefault="00E9238F" w:rsidP="00F24D4B">
      <w:pPr>
        <w:pStyle w:val="ListParagraph"/>
        <w:numPr>
          <w:ilvl w:val="0"/>
          <w:numId w:val="7"/>
        </w:numPr>
        <w:spacing w:after="160" w:line="259" w:lineRule="auto"/>
        <w:jc w:val="both"/>
        <w:rPr>
          <w:color w:val="002060"/>
        </w:rPr>
      </w:pPr>
      <w:r>
        <w:rPr>
          <w:color w:val="002060"/>
        </w:rPr>
        <w:lastRenderedPageBreak/>
        <w:t xml:space="preserve">The Scheme’s investment managers were asked to confirm whether they are current </w:t>
      </w:r>
      <w:r w:rsidRPr="006B67FD">
        <w:rPr>
          <w:color w:val="002060"/>
        </w:rPr>
        <w:t xml:space="preserve">signatories of the UK Stewardship Code. </w:t>
      </w:r>
      <w:r w:rsidR="00335E72" w:rsidRPr="006B67FD">
        <w:rPr>
          <w:color w:val="002060"/>
        </w:rPr>
        <w:t>LGIM</w:t>
      </w:r>
      <w:r w:rsidR="00335E72" w:rsidRPr="00335E72">
        <w:rPr>
          <w:color w:val="002060"/>
        </w:rPr>
        <w:t xml:space="preserve"> </w:t>
      </w:r>
      <w:r w:rsidR="00EE71C7">
        <w:rPr>
          <w:color w:val="002060"/>
        </w:rPr>
        <w:t xml:space="preserve">and MGIE </w:t>
      </w:r>
      <w:r w:rsidR="00675A0A" w:rsidRPr="00335E72">
        <w:rPr>
          <w:color w:val="002060"/>
        </w:rPr>
        <w:t xml:space="preserve">confirmed that they are signatories of the current UK Stewardship Code. </w:t>
      </w:r>
    </w:p>
    <w:p w14:paraId="205D5351" w14:textId="50979383" w:rsidR="00675A0A" w:rsidRPr="00664BD3" w:rsidRDefault="00675A0A" w:rsidP="00F24D4B">
      <w:pPr>
        <w:pStyle w:val="ListParagraph"/>
        <w:numPr>
          <w:ilvl w:val="0"/>
          <w:numId w:val="7"/>
        </w:numPr>
        <w:spacing w:after="160" w:line="259" w:lineRule="auto"/>
        <w:jc w:val="both"/>
        <w:rPr>
          <w:color w:val="003865" w:themeColor="text1"/>
        </w:rPr>
      </w:pPr>
      <w:r w:rsidRPr="00A71653">
        <w:rPr>
          <w:color w:val="002060"/>
        </w:rPr>
        <w:t xml:space="preserve">The investment performance report is reviewed by the </w:t>
      </w:r>
      <w:r w:rsidR="00167AF2">
        <w:rPr>
          <w:color w:val="002060"/>
        </w:rPr>
        <w:t>Trustee</w:t>
      </w:r>
      <w:r w:rsidR="00CB256F">
        <w:rPr>
          <w:color w:val="002060"/>
        </w:rPr>
        <w:t xml:space="preserve"> on a </w:t>
      </w:r>
      <w:r w:rsidR="00167AF2">
        <w:rPr>
          <w:color w:val="002060"/>
        </w:rPr>
        <w:t>quarterly</w:t>
      </w:r>
      <w:r w:rsidR="00CB256F">
        <w:rPr>
          <w:color w:val="002060"/>
        </w:rPr>
        <w:t xml:space="preserve"> </w:t>
      </w:r>
      <w:r w:rsidRPr="00A71653">
        <w:rPr>
          <w:color w:val="002060"/>
        </w:rPr>
        <w:t>basis – this includes ratings (both general and ESG</w:t>
      </w:r>
      <w:r w:rsidR="004A7423">
        <w:rPr>
          <w:color w:val="002060"/>
        </w:rPr>
        <w:t>-specific</w:t>
      </w:r>
      <w:r w:rsidRPr="00A71653">
        <w:rPr>
          <w:color w:val="002060"/>
        </w:rPr>
        <w:t>) from the investment adviser</w:t>
      </w:r>
      <w:r w:rsidR="00A76302">
        <w:rPr>
          <w:color w:val="002060"/>
        </w:rPr>
        <w:t xml:space="preserve"> and </w:t>
      </w:r>
      <w:r w:rsidR="00323DC1">
        <w:rPr>
          <w:color w:val="002060"/>
        </w:rPr>
        <w:t>the</w:t>
      </w:r>
      <w:r w:rsidR="00EE428D">
        <w:rPr>
          <w:color w:val="002060"/>
        </w:rPr>
        <w:t xml:space="preserve"> </w:t>
      </w:r>
      <w:r w:rsidRPr="00A71653">
        <w:rPr>
          <w:color w:val="002060"/>
        </w:rPr>
        <w:t xml:space="preserve">managers </w:t>
      </w:r>
      <w:r w:rsidR="00890F8C">
        <w:rPr>
          <w:color w:val="002060"/>
        </w:rPr>
        <w:t xml:space="preserve">were </w:t>
      </w:r>
      <w:r w:rsidRPr="00A71653">
        <w:rPr>
          <w:color w:val="002060"/>
        </w:rPr>
        <w:t xml:space="preserve">generally </w:t>
      </w:r>
      <w:r w:rsidR="007506A3">
        <w:rPr>
          <w:color w:val="002060"/>
        </w:rPr>
        <w:t>well</w:t>
      </w:r>
      <w:r w:rsidRPr="00A71653">
        <w:rPr>
          <w:color w:val="002060"/>
        </w:rPr>
        <w:t xml:space="preserve"> rated during the year. Where managers may not be highly rated from an ESG perspective the </w:t>
      </w:r>
      <w:r w:rsidR="00167AF2">
        <w:rPr>
          <w:color w:val="002060"/>
        </w:rPr>
        <w:t>Trustee</w:t>
      </w:r>
      <w:r w:rsidRPr="00A71653">
        <w:rPr>
          <w:color w:val="002060"/>
        </w:rPr>
        <w:t xml:space="preserve"> continue</w:t>
      </w:r>
      <w:r w:rsidR="00167AF2">
        <w:rPr>
          <w:color w:val="002060"/>
        </w:rPr>
        <w:t>s</w:t>
      </w:r>
      <w:r w:rsidRPr="00A71653">
        <w:rPr>
          <w:color w:val="002060"/>
        </w:rPr>
        <w:t xml:space="preserve"> to monitor</w:t>
      </w:r>
      <w:r w:rsidR="004A7423">
        <w:rPr>
          <w:color w:val="002060"/>
        </w:rPr>
        <w:t xml:space="preserve"> this</w:t>
      </w:r>
      <w:r w:rsidRPr="00A71653">
        <w:rPr>
          <w:color w:val="002060"/>
        </w:rPr>
        <w:t>. The investment performance report includes how each investment manager is delivering against their specific mandates.</w:t>
      </w:r>
    </w:p>
    <w:p w14:paraId="2658E93E" w14:textId="4A61968C" w:rsidR="00664BD3" w:rsidRPr="009313BF" w:rsidRDefault="009313BF" w:rsidP="00F24D4B">
      <w:pPr>
        <w:pStyle w:val="ListParagraph"/>
        <w:numPr>
          <w:ilvl w:val="0"/>
          <w:numId w:val="7"/>
        </w:numPr>
        <w:spacing w:after="160" w:line="259" w:lineRule="auto"/>
        <w:jc w:val="both"/>
        <w:rPr>
          <w:color w:val="003865" w:themeColor="text1"/>
        </w:rPr>
      </w:pPr>
      <w:r w:rsidRPr="009313BF">
        <w:rPr>
          <w:color w:val="002060"/>
        </w:rPr>
        <w:t>The Trustee has concluded that the decision on how to exercise voting rights should be left with their investment managers, who will exercise these rights in accordance with their respective published corporate governance policies</w:t>
      </w:r>
      <w:r>
        <w:rPr>
          <w:color w:val="002060"/>
        </w:rPr>
        <w:t xml:space="preserve">. </w:t>
      </w:r>
      <w:r w:rsidR="00664BD3">
        <w:rPr>
          <w:color w:val="002060"/>
        </w:rPr>
        <w:t>Information on engagement activities undertaken by the managers is provided to the Trustee</w:t>
      </w:r>
      <w:r w:rsidR="00F51BF6">
        <w:rPr>
          <w:color w:val="002060"/>
        </w:rPr>
        <w:t xml:space="preserve"> from time to time</w:t>
      </w:r>
      <w:r w:rsidR="00664BD3">
        <w:rPr>
          <w:color w:val="002060"/>
        </w:rPr>
        <w:t xml:space="preserve">. </w:t>
      </w:r>
      <w:r w:rsidR="00F51BF6">
        <w:rPr>
          <w:color w:val="002060"/>
        </w:rPr>
        <w:t>Any</w:t>
      </w:r>
      <w:r w:rsidR="00F51BF6" w:rsidRPr="00F51BF6">
        <w:rPr>
          <w:color w:val="002060"/>
        </w:rPr>
        <w:t xml:space="preserve"> changes to the Trustee’s view on these matters, or a change in the stewardship policies of the investment managers, could potentially result in one or more of the investment managers being replaced</w:t>
      </w:r>
      <w:r w:rsidR="00F51BF6">
        <w:rPr>
          <w:color w:val="002060"/>
        </w:rPr>
        <w:t xml:space="preserve">. </w:t>
      </w:r>
      <w:r w:rsidR="00674EF2">
        <w:rPr>
          <w:color w:val="002060"/>
        </w:rPr>
        <w:t xml:space="preserve"> The Trustee reviews engagement in the areas of potential environmental, social and governance impacts. </w:t>
      </w:r>
    </w:p>
    <w:p w14:paraId="7FF90359" w14:textId="77777777" w:rsidR="00F47A01" w:rsidRDefault="00E53230" w:rsidP="00E53230">
      <w:pPr>
        <w:rPr>
          <w:color w:val="003865" w:themeColor="text1"/>
        </w:rPr>
      </w:pPr>
      <w:r w:rsidRPr="009313BF">
        <w:rPr>
          <w:color w:val="003865" w:themeColor="text1"/>
        </w:rPr>
        <w:t xml:space="preserve">Engagement is an important aspect of </w:t>
      </w:r>
      <w:r w:rsidR="00F47A01">
        <w:rPr>
          <w:color w:val="003865" w:themeColor="text1"/>
        </w:rPr>
        <w:t>both managers’</w:t>
      </w:r>
      <w:r w:rsidRPr="009313BF">
        <w:rPr>
          <w:color w:val="003865" w:themeColor="text1"/>
        </w:rPr>
        <w:t xml:space="preserve"> stewardship activities on behalf of the</w:t>
      </w:r>
      <w:r w:rsidR="00F47A01">
        <w:rPr>
          <w:color w:val="003865" w:themeColor="text1"/>
        </w:rPr>
        <w:t xml:space="preserve"> Trustee</w:t>
      </w:r>
      <w:r w:rsidRPr="009313BF">
        <w:rPr>
          <w:color w:val="003865" w:themeColor="text1"/>
        </w:rPr>
        <w:t xml:space="preserve">. </w:t>
      </w:r>
    </w:p>
    <w:p w14:paraId="220DF212" w14:textId="39076C5C" w:rsidR="00E53230" w:rsidRDefault="00F47A01" w:rsidP="00E53230">
      <w:pPr>
        <w:rPr>
          <w:color w:val="003865" w:themeColor="text1"/>
        </w:rPr>
      </w:pPr>
      <w:r>
        <w:rPr>
          <w:color w:val="003865" w:themeColor="text1"/>
        </w:rPr>
        <w:t>Mercer’s</w:t>
      </w:r>
      <w:r w:rsidR="00E53230" w:rsidRPr="009313BF">
        <w:rPr>
          <w:color w:val="003865" w:themeColor="text1"/>
        </w:rPr>
        <w:t xml:space="preserve"> </w:t>
      </w:r>
      <w:hyperlink r:id="rId14" w:history="1">
        <w:r w:rsidR="00E53230" w:rsidRPr="009313BF">
          <w:rPr>
            <w:rStyle w:val="Hyperlink"/>
          </w:rPr>
          <w:t>2024 Sustainability &amp; Stewardship Report</w:t>
        </w:r>
      </w:hyperlink>
      <w:r w:rsidR="00E53230" w:rsidRPr="009313BF">
        <w:rPr>
          <w:color w:val="003865" w:themeColor="text1"/>
        </w:rPr>
        <w:t xml:space="preserve"> highlights the engagement objectives which have been set</w:t>
      </w:r>
      <w:r w:rsidR="00674EF2">
        <w:rPr>
          <w:color w:val="003865" w:themeColor="text1"/>
        </w:rPr>
        <w:t xml:space="preserve"> by Mercer</w:t>
      </w:r>
      <w:r w:rsidR="00E53230" w:rsidRPr="009313BF">
        <w:rPr>
          <w:color w:val="003865" w:themeColor="text1"/>
        </w:rPr>
        <w:t xml:space="preserve">, examples of engagement and the escalation process. Mercer also participates in collaborative initiatives related to stewardship.  Mercer conducts an annual survey on sustainability and stewardship topics. </w:t>
      </w:r>
    </w:p>
    <w:p w14:paraId="44BFC3D8" w14:textId="3A91E106" w:rsidR="00F47A01" w:rsidRDefault="00F47A01" w:rsidP="00E53230">
      <w:pPr>
        <w:rPr>
          <w:color w:val="003865" w:themeColor="text1"/>
        </w:rPr>
      </w:pPr>
      <w:r>
        <w:rPr>
          <w:color w:val="003865" w:themeColor="text1"/>
        </w:rPr>
        <w:t xml:space="preserve">LGIM’s </w:t>
      </w:r>
      <w:hyperlink r:id="rId15" w:history="1">
        <w:r w:rsidRPr="00F47A01">
          <w:rPr>
            <w:rStyle w:val="Hyperlink"/>
          </w:rPr>
          <w:t>2024 Active Ownership Report</w:t>
        </w:r>
      </w:hyperlink>
      <w:r>
        <w:rPr>
          <w:color w:val="003865" w:themeColor="text1"/>
        </w:rPr>
        <w:t xml:space="preserve"> summarises the key stewardship activities taken by LGIM on behalf of the Trustee. LGIM</w:t>
      </w:r>
      <w:r w:rsidRPr="00F47A01">
        <w:rPr>
          <w:color w:val="003865" w:themeColor="text1"/>
        </w:rPr>
        <w:t xml:space="preserve"> have received a 5* ranking from the UN PRI for five modules: Policy governance and strategy, Passive equity, Real estate, Fixed income (SSA) and Fixed income (corporate). </w:t>
      </w:r>
    </w:p>
    <w:p w14:paraId="75888CF4" w14:textId="33430344" w:rsidR="009313BF" w:rsidRDefault="009313BF" w:rsidP="00E53230">
      <w:pPr>
        <w:rPr>
          <w:color w:val="003865" w:themeColor="text1"/>
        </w:rPr>
      </w:pPr>
      <w:r>
        <w:rPr>
          <w:color w:val="003865" w:themeColor="text1"/>
        </w:rPr>
        <w:t xml:space="preserve">The exhibit below shows a summary of the engagement activities taken by LGIM over the year to 31 March 2025 in relation to the Scheme’s holdings in their Active Corporate Bonds – All Stocks fund. There are no voting rights attached to this mandate. </w:t>
      </w:r>
    </w:p>
    <w:p w14:paraId="21B68DBD" w14:textId="6B11619C" w:rsidR="009313BF" w:rsidRPr="009313BF" w:rsidRDefault="009313BF" w:rsidP="009313BF">
      <w:pPr>
        <w:rPr>
          <w:color w:val="003865" w:themeColor="text1"/>
        </w:rPr>
      </w:pPr>
      <w:r w:rsidRPr="009313BF">
        <w:rPr>
          <w:noProof/>
          <w:color w:val="003865" w:themeColor="text1"/>
        </w:rPr>
        <w:lastRenderedPageBreak/>
        <w:drawing>
          <wp:inline distT="0" distB="0" distL="0" distR="0" wp14:anchorId="14DA8886" wp14:editId="5D16BCA7">
            <wp:extent cx="6515643" cy="3093058"/>
            <wp:effectExtent l="0" t="0" r="0" b="0"/>
            <wp:docPr id="1837111110" name="Picture 1" descr="A screenshot of a social media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11110" name="Picture 1" descr="A screenshot of a social media page"/>
                    <pic:cNvPicPr/>
                  </pic:nvPicPr>
                  <pic:blipFill>
                    <a:blip r:embed="rId16"/>
                    <a:stretch>
                      <a:fillRect/>
                    </a:stretch>
                  </pic:blipFill>
                  <pic:spPr>
                    <a:xfrm>
                      <a:off x="0" y="0"/>
                      <a:ext cx="6532311" cy="3100971"/>
                    </a:xfrm>
                    <a:prstGeom prst="rect">
                      <a:avLst/>
                    </a:prstGeom>
                  </pic:spPr>
                </pic:pic>
              </a:graphicData>
            </a:graphic>
          </wp:inline>
        </w:drawing>
      </w:r>
    </w:p>
    <w:p w14:paraId="3CCAAEA8" w14:textId="527B3F77" w:rsidR="003A6090" w:rsidRPr="00DA1EFD" w:rsidRDefault="00830872" w:rsidP="00F24D4B">
      <w:pPr>
        <w:spacing w:before="240" w:line="280" w:lineRule="atLeast"/>
        <w:jc w:val="both"/>
        <w:rPr>
          <w:b/>
          <w:u w:val="single"/>
        </w:rPr>
      </w:pPr>
      <w:r w:rsidRPr="00DA1EFD">
        <w:rPr>
          <w:b/>
          <w:u w:val="single"/>
        </w:rPr>
        <w:t>Sustainable-themed investments</w:t>
      </w:r>
      <w:r w:rsidR="00196A69">
        <w:rPr>
          <w:b/>
          <w:u w:val="single"/>
        </w:rPr>
        <w:t xml:space="preserve"> </w:t>
      </w:r>
    </w:p>
    <w:p w14:paraId="56833B30" w14:textId="1E87A315" w:rsidR="00830872" w:rsidRPr="00674EF2" w:rsidRDefault="00830872" w:rsidP="00674EF2">
      <w:pPr>
        <w:pStyle w:val="ListParagraph"/>
        <w:numPr>
          <w:ilvl w:val="0"/>
          <w:numId w:val="7"/>
        </w:numPr>
        <w:spacing w:after="160" w:line="259" w:lineRule="auto"/>
        <w:jc w:val="both"/>
        <w:rPr>
          <w:color w:val="003865" w:themeColor="text1"/>
        </w:rPr>
      </w:pPr>
      <w:r w:rsidRPr="00830872">
        <w:rPr>
          <w:color w:val="003865" w:themeColor="text1"/>
        </w:rPr>
        <w:t xml:space="preserve">Within the </w:t>
      </w:r>
      <w:r>
        <w:rPr>
          <w:color w:val="003865" w:themeColor="text1"/>
        </w:rPr>
        <w:t xml:space="preserve">MGIE </w:t>
      </w:r>
      <w:r w:rsidRPr="00830872">
        <w:rPr>
          <w:color w:val="003865" w:themeColor="text1"/>
        </w:rPr>
        <w:t>Diversified Grow</w:t>
      </w:r>
      <w:r>
        <w:rPr>
          <w:color w:val="003865" w:themeColor="text1"/>
        </w:rPr>
        <w:t>t</w:t>
      </w:r>
      <w:r w:rsidRPr="00830872">
        <w:rPr>
          <w:color w:val="003865" w:themeColor="text1"/>
        </w:rPr>
        <w:t xml:space="preserve">h Fund, the Scheme has exposure to a </w:t>
      </w:r>
      <w:r w:rsidR="003A6090">
        <w:rPr>
          <w:color w:val="003865" w:themeColor="text1"/>
        </w:rPr>
        <w:t xml:space="preserve">passive </w:t>
      </w:r>
      <w:r w:rsidRPr="00830872">
        <w:rPr>
          <w:color w:val="003865" w:themeColor="text1"/>
        </w:rPr>
        <w:t>Sustainable Global Equity fund.</w:t>
      </w:r>
      <w:r w:rsidR="00674EF2">
        <w:rPr>
          <w:color w:val="003865" w:themeColor="text1"/>
        </w:rPr>
        <w:t xml:space="preserve"> </w:t>
      </w:r>
      <w:r w:rsidRPr="00674EF2">
        <w:rPr>
          <w:color w:val="003865" w:themeColor="text1"/>
        </w:rPr>
        <w:t xml:space="preserve">A detailed standalone sustainability monitoring report is produced </w:t>
      </w:r>
      <w:r w:rsidR="00D3478C" w:rsidRPr="00674EF2">
        <w:rPr>
          <w:color w:val="003865" w:themeColor="text1"/>
        </w:rPr>
        <w:t xml:space="preserve">and available </w:t>
      </w:r>
      <w:r w:rsidRPr="00674EF2">
        <w:rPr>
          <w:color w:val="003865" w:themeColor="text1"/>
        </w:rPr>
        <w:t xml:space="preserve">for </w:t>
      </w:r>
      <w:r w:rsidR="00674EF2" w:rsidRPr="00674EF2">
        <w:rPr>
          <w:color w:val="003865" w:themeColor="text1"/>
        </w:rPr>
        <w:t xml:space="preserve">this fund </w:t>
      </w:r>
      <w:r w:rsidRPr="00674EF2">
        <w:rPr>
          <w:color w:val="003865" w:themeColor="text1"/>
        </w:rPr>
        <w:t>on an annual basis, including a more granular breakdown of the fund against ESG metrics, for example the UN Sustainability Development Goals.</w:t>
      </w:r>
    </w:p>
    <w:p w14:paraId="646BA034" w14:textId="77777777" w:rsidR="00372F13" w:rsidRPr="00F24D4B" w:rsidRDefault="00372F13" w:rsidP="00F24D4B">
      <w:pPr>
        <w:pStyle w:val="ListNumber"/>
        <w:rPr>
          <w:b/>
          <w:bCs/>
          <w:color w:val="003865" w:themeColor="text1"/>
        </w:rPr>
      </w:pPr>
      <w:r w:rsidRPr="00F24D4B">
        <w:rPr>
          <w:b/>
          <w:bCs/>
          <w:color w:val="003865" w:themeColor="text1"/>
        </w:rPr>
        <w:t>Voting Activity</w:t>
      </w:r>
    </w:p>
    <w:p w14:paraId="43A1ADCE" w14:textId="1428A58C" w:rsidR="00EA6312" w:rsidRPr="00BF2BB4" w:rsidRDefault="00E9238F" w:rsidP="00DA1EFD">
      <w:pPr>
        <w:rPr>
          <w:color w:val="003865" w:themeColor="text1"/>
          <w:szCs w:val="22"/>
        </w:rPr>
      </w:pPr>
      <w:r>
        <w:rPr>
          <w:color w:val="003865" w:themeColor="text1"/>
        </w:rPr>
        <w:t>The Scheme is invested in multi-client pooled funds</w:t>
      </w:r>
      <w:r w:rsidR="00FE71C8" w:rsidRPr="004B548D">
        <w:rPr>
          <w:color w:val="003865" w:themeColor="text1"/>
        </w:rPr>
        <w:t xml:space="preserve"> therefore</w:t>
      </w:r>
      <w:r>
        <w:rPr>
          <w:color w:val="003865" w:themeColor="text1"/>
        </w:rPr>
        <w:t xml:space="preserve"> the </w:t>
      </w:r>
      <w:r w:rsidR="00167AF2">
        <w:rPr>
          <w:color w:val="003865" w:themeColor="text1"/>
        </w:rPr>
        <w:t>Trustee</w:t>
      </w:r>
      <w:r>
        <w:rPr>
          <w:color w:val="003865" w:themeColor="text1"/>
        </w:rPr>
        <w:t xml:space="preserve"> do</w:t>
      </w:r>
      <w:r w:rsidR="00167AF2">
        <w:rPr>
          <w:color w:val="003865" w:themeColor="text1"/>
        </w:rPr>
        <w:t>es</w:t>
      </w:r>
      <w:r>
        <w:rPr>
          <w:color w:val="003865" w:themeColor="text1"/>
        </w:rPr>
        <w:t xml:space="preserve"> not have direct</w:t>
      </w:r>
      <w:r w:rsidR="00FE71C8" w:rsidRPr="004B548D">
        <w:rPr>
          <w:color w:val="003865" w:themeColor="text1"/>
        </w:rPr>
        <w:t xml:space="preserve"> voting rights in relation to the </w:t>
      </w:r>
      <w:r w:rsidR="00373081">
        <w:rPr>
          <w:color w:val="003865" w:themeColor="text1"/>
        </w:rPr>
        <w:t>Scheme</w:t>
      </w:r>
      <w:r w:rsidR="00FE71C8" w:rsidRPr="004B548D">
        <w:rPr>
          <w:color w:val="003865" w:themeColor="text1"/>
        </w:rPr>
        <w:t xml:space="preserve">’s investments.  </w:t>
      </w:r>
      <w:r w:rsidR="00EA6312" w:rsidRPr="005519E8">
        <w:rPr>
          <w:color w:val="003865" w:themeColor="text1"/>
          <w:szCs w:val="22"/>
        </w:rPr>
        <w:t>The Trustee</w:t>
      </w:r>
      <w:r w:rsidR="00EA6312">
        <w:rPr>
          <w:color w:val="003865" w:themeColor="text1"/>
          <w:szCs w:val="22"/>
        </w:rPr>
        <w:t>’</w:t>
      </w:r>
      <w:r w:rsidR="00EA6312" w:rsidRPr="005519E8">
        <w:rPr>
          <w:color w:val="003865" w:themeColor="text1"/>
          <w:szCs w:val="22"/>
        </w:rPr>
        <w:t xml:space="preserve">s policy is to delegate responsibility for the exercising of rights (including voting rights) attaching to the </w:t>
      </w:r>
      <w:r w:rsidR="00EA6312" w:rsidRPr="005519E8">
        <w:rPr>
          <w:color w:val="003865" w:themeColor="text1"/>
          <w:kern w:val="24"/>
          <w:szCs w:val="22"/>
        </w:rPr>
        <w:t>Scheme</w:t>
      </w:r>
      <w:r w:rsidR="00EA6312" w:rsidRPr="005519E8">
        <w:rPr>
          <w:color w:val="003865" w:themeColor="text1"/>
          <w:szCs w:val="22"/>
        </w:rPr>
        <w:t xml:space="preserve">’s investments to the </w:t>
      </w:r>
      <w:r w:rsidR="003A6090" w:rsidRPr="005519E8">
        <w:rPr>
          <w:color w:val="003865" w:themeColor="text1"/>
          <w:szCs w:val="22"/>
        </w:rPr>
        <w:t>third-party</w:t>
      </w:r>
      <w:r w:rsidR="00EA6312" w:rsidRPr="005519E8">
        <w:rPr>
          <w:color w:val="003865" w:themeColor="text1"/>
          <w:szCs w:val="22"/>
        </w:rPr>
        <w:t xml:space="preserve"> investment managers appointed by </w:t>
      </w:r>
      <w:r w:rsidR="00EA6312">
        <w:rPr>
          <w:color w:val="003865" w:themeColor="text1"/>
          <w:szCs w:val="22"/>
        </w:rPr>
        <w:t>MGIE</w:t>
      </w:r>
      <w:r w:rsidR="00EA6312" w:rsidRPr="005519E8">
        <w:rPr>
          <w:color w:val="003865" w:themeColor="text1"/>
          <w:szCs w:val="22"/>
        </w:rPr>
        <w:t xml:space="preserve"> on the Trustee</w:t>
      </w:r>
      <w:r w:rsidR="001E317B">
        <w:rPr>
          <w:color w:val="003865" w:themeColor="text1"/>
          <w:szCs w:val="22"/>
        </w:rPr>
        <w:t>’</w:t>
      </w:r>
      <w:r w:rsidR="00EA6312" w:rsidRPr="005519E8">
        <w:rPr>
          <w:color w:val="003865" w:themeColor="text1"/>
          <w:szCs w:val="22"/>
        </w:rPr>
        <w:t>s behalf</w:t>
      </w:r>
      <w:r w:rsidR="00EA6312">
        <w:rPr>
          <w:color w:val="003865" w:themeColor="text1"/>
          <w:szCs w:val="22"/>
        </w:rPr>
        <w:t xml:space="preserve"> (via </w:t>
      </w:r>
      <w:r w:rsidR="00EA6312" w:rsidRPr="00167AF2">
        <w:rPr>
          <w:color w:val="003865" w:themeColor="text1"/>
        </w:rPr>
        <w:t>MGIE Diversified Growth Fund</w:t>
      </w:r>
      <w:r w:rsidR="00EA6312">
        <w:rPr>
          <w:color w:val="003865" w:themeColor="text1"/>
          <w:szCs w:val="22"/>
        </w:rPr>
        <w:t>)</w:t>
      </w:r>
      <w:r w:rsidR="00EA6312" w:rsidRPr="005519E8">
        <w:rPr>
          <w:color w:val="003865" w:themeColor="text1"/>
          <w:szCs w:val="22"/>
        </w:rPr>
        <w:t>.</w:t>
      </w:r>
    </w:p>
    <w:p w14:paraId="2C9588FC" w14:textId="5EF0A08A" w:rsidR="00EA6312" w:rsidRDefault="00EA6312" w:rsidP="00EA6312">
      <w:pPr>
        <w:jc w:val="both"/>
        <w:rPr>
          <w:szCs w:val="22"/>
        </w:rPr>
      </w:pPr>
      <w:r w:rsidRPr="00BF2BB4">
        <w:rPr>
          <w:szCs w:val="22"/>
        </w:rPr>
        <w:t xml:space="preserve">This is because any voting rights that do apply with respect to the underlying investments attached to the Mercer Funds are, ultimately, delegated to the </w:t>
      </w:r>
      <w:r w:rsidR="003A6090" w:rsidRPr="00BF2BB4">
        <w:rPr>
          <w:szCs w:val="22"/>
        </w:rPr>
        <w:t>third-party</w:t>
      </w:r>
      <w:r w:rsidRPr="00BF2BB4">
        <w:rPr>
          <w:szCs w:val="22"/>
        </w:rPr>
        <w:t xml:space="preserve"> investment managers appointed by MGIE. In delegating these rights, MGIE accepts that managers are typically best placed to exercise voting rights and prioritise particular engagement topics by security, given they are expected to have detailed knowledge of both the governance and the operations of the companies and issuers </w:t>
      </w:r>
      <w:r w:rsidRPr="00BF2BB4">
        <w:rPr>
          <w:szCs w:val="22"/>
        </w:rPr>
        <w:lastRenderedPageBreak/>
        <w:t xml:space="preserve">they invest in. </w:t>
      </w:r>
      <w:r>
        <w:rPr>
          <w:szCs w:val="22"/>
        </w:rPr>
        <w:t xml:space="preserve">The Trustee expects the </w:t>
      </w:r>
      <w:r w:rsidR="003A6090">
        <w:rPr>
          <w:szCs w:val="22"/>
        </w:rPr>
        <w:t>third-party</w:t>
      </w:r>
      <w:r>
        <w:rPr>
          <w:szCs w:val="22"/>
        </w:rPr>
        <w:t xml:space="preserve"> investment managers to evaluate ESG factors, including climate change considerations, and exercise voting rights and stewardship </w:t>
      </w:r>
      <w:r w:rsidRPr="00F94125">
        <w:rPr>
          <w:szCs w:val="22"/>
        </w:rPr>
        <w:t>obligations attached to the investments, in accordance with their own corporate governance policies and current best practice, including the UK Corporate Governance Code and UK Stewardship Code</w:t>
      </w:r>
      <w:r w:rsidR="001E317B">
        <w:rPr>
          <w:szCs w:val="22"/>
        </w:rPr>
        <w:t xml:space="preserve">. </w:t>
      </w:r>
      <w:r w:rsidR="001E317B" w:rsidRPr="001E317B">
        <w:rPr>
          <w:szCs w:val="22"/>
        </w:rPr>
        <w:t xml:space="preserve">However, </w:t>
      </w:r>
      <w:r w:rsidR="001E317B">
        <w:rPr>
          <w:szCs w:val="22"/>
        </w:rPr>
        <w:t>MGIE</w:t>
      </w:r>
      <w:r w:rsidR="001E317B" w:rsidRPr="001E317B">
        <w:rPr>
          <w:szCs w:val="22"/>
        </w:rPr>
        <w:t xml:space="preserve"> plays a pivotal role in monitoring the stewardship activities of those managers and promoting more effective stewardship practices, including attention to more strategic themes and topics</w:t>
      </w:r>
      <w:r w:rsidR="001E317B">
        <w:rPr>
          <w:szCs w:val="22"/>
        </w:rPr>
        <w:t>.</w:t>
      </w:r>
    </w:p>
    <w:p w14:paraId="7FB4FA85" w14:textId="37905F10" w:rsidR="00EA6312" w:rsidRPr="005519E8" w:rsidRDefault="00EA6312" w:rsidP="00EA6312">
      <w:pPr>
        <w:jc w:val="both"/>
        <w:rPr>
          <w:szCs w:val="22"/>
          <w:lang w:eastAsia="en-GB"/>
        </w:rPr>
      </w:pPr>
      <w:r w:rsidRPr="00F24D4B">
        <w:rPr>
          <w:b/>
          <w:bCs/>
          <w:szCs w:val="22"/>
          <w:lang w:eastAsia="en-GB"/>
        </w:rPr>
        <w:t>Voting</w:t>
      </w:r>
      <w:r w:rsidRPr="005519E8">
        <w:rPr>
          <w:szCs w:val="22"/>
          <w:lang w:eastAsia="en-GB"/>
        </w:rPr>
        <w:t xml:space="preserve">: As part of the monitoring of managers’ approaches to voting, MGIE assesses how managers are voting against management and seeks to obtain the rationale behind voting activities, particularly in cases where split votes may occur (where managers vote in different ways for the same proposal). MGIE portfolio managers will use these results to inform their engagements with managers on their voting activities. </w:t>
      </w:r>
    </w:p>
    <w:p w14:paraId="3DEAE489" w14:textId="0C0261C2" w:rsidR="00EA6312" w:rsidRDefault="00EA6312" w:rsidP="00DA1EFD">
      <w:pPr>
        <w:jc w:val="both"/>
        <w:rPr>
          <w:color w:val="003865" w:themeColor="text1"/>
          <w:szCs w:val="22"/>
          <w:lang w:eastAsia="en-GB"/>
        </w:rPr>
      </w:pPr>
      <w:r w:rsidRPr="005519E8">
        <w:rPr>
          <w:szCs w:val="22"/>
        </w:rPr>
        <w:t>Set out below is a summary of voting activity for the year to 31 March 202</w:t>
      </w:r>
      <w:r w:rsidR="00773AAE">
        <w:rPr>
          <w:szCs w:val="22"/>
        </w:rPr>
        <w:t>5</w:t>
      </w:r>
      <w:r w:rsidRPr="005519E8">
        <w:rPr>
          <w:szCs w:val="22"/>
        </w:rPr>
        <w:t xml:space="preserve"> for a range of Mercer Funds</w:t>
      </w:r>
      <w:r>
        <w:rPr>
          <w:szCs w:val="22"/>
        </w:rPr>
        <w:t xml:space="preserve"> (</w:t>
      </w:r>
      <w:r w:rsidR="00325F46">
        <w:rPr>
          <w:szCs w:val="22"/>
        </w:rPr>
        <w:t xml:space="preserve">invested in </w:t>
      </w:r>
      <w:r>
        <w:rPr>
          <w:szCs w:val="22"/>
        </w:rPr>
        <w:t>via MGIE Diversified Growth Fund)</w:t>
      </w:r>
      <w:r w:rsidRPr="005519E8">
        <w:rPr>
          <w:szCs w:val="22"/>
        </w:rPr>
        <w:t xml:space="preserve"> that the </w:t>
      </w:r>
      <w:r w:rsidRPr="005519E8">
        <w:rPr>
          <w:kern w:val="24"/>
          <w:szCs w:val="22"/>
        </w:rPr>
        <w:t>Scheme</w:t>
      </w:r>
      <w:r w:rsidRPr="005519E8">
        <w:rPr>
          <w:szCs w:val="22"/>
        </w:rPr>
        <w:t xml:space="preserve">’s assets are invested in. </w:t>
      </w:r>
      <w:r w:rsidRPr="005519E8">
        <w:rPr>
          <w:szCs w:val="22"/>
          <w:lang w:eastAsia="en-GB"/>
        </w:rPr>
        <w:t>This may include information in relation to funds that the Scheme’s assets were no longer invested in at the year end.</w:t>
      </w:r>
      <w:r w:rsidRPr="005519E8">
        <w:rPr>
          <w:szCs w:val="22"/>
        </w:rPr>
        <w:t xml:space="preserve"> </w:t>
      </w:r>
      <w:r w:rsidRPr="005519E8">
        <w:rPr>
          <w:szCs w:val="22"/>
          <w:lang w:eastAsia="en-GB"/>
        </w:rPr>
        <w:t xml:space="preserve">The statistics set out in the table below are drawn from the Glass Lewis voting system (via Mercer’s custodian). </w:t>
      </w:r>
      <w:r w:rsidR="00FA6576" w:rsidRPr="00FA6576">
        <w:rPr>
          <w:szCs w:val="22"/>
          <w:lang w:eastAsia="en-GB"/>
        </w:rPr>
        <w:t>Glass Lewis is a leading provider of governance and proxy voting services</w:t>
      </w:r>
      <w:r w:rsidR="00FA6576">
        <w:rPr>
          <w:szCs w:val="22"/>
          <w:lang w:eastAsia="en-GB"/>
        </w:rPr>
        <w:t xml:space="preserve">. </w:t>
      </w:r>
      <w:r w:rsidRPr="005519E8">
        <w:rPr>
          <w:szCs w:val="22"/>
          <w:lang w:eastAsia="en-GB"/>
        </w:rPr>
        <w:t xml:space="preserve">Typically, </w:t>
      </w:r>
      <w:r w:rsidR="00FA6576">
        <w:rPr>
          <w:szCs w:val="22"/>
          <w:lang w:eastAsia="en-GB"/>
        </w:rPr>
        <w:t xml:space="preserve">Mercer considers </w:t>
      </w:r>
      <w:r w:rsidRPr="005519E8">
        <w:rPr>
          <w:szCs w:val="22"/>
          <w:lang w:eastAsia="en-GB"/>
        </w:rPr>
        <w:t>votes exercised against management</w:t>
      </w:r>
      <w:r w:rsidRPr="00BF2BB4">
        <w:rPr>
          <w:szCs w:val="22"/>
          <w:lang w:eastAsia="en-GB"/>
        </w:rPr>
        <w:t xml:space="preserve"> can indicate a thoughtful and active approach. This is particularly visible where votes have been exercised to escalate engagement objectives. The expectation is for all shares to be </w:t>
      </w:r>
      <w:r w:rsidRPr="00BF2BB4">
        <w:rPr>
          <w:color w:val="003865" w:themeColor="text1"/>
          <w:szCs w:val="22"/>
          <w:lang w:eastAsia="en-GB"/>
        </w:rPr>
        <w:t xml:space="preserve">voted. </w:t>
      </w:r>
    </w:p>
    <w:tbl>
      <w:tblPr>
        <w:tblW w:w="14884" w:type="dxa"/>
        <w:tblLayout w:type="fixed"/>
        <w:tblLook w:val="04A0" w:firstRow="1" w:lastRow="0" w:firstColumn="1" w:lastColumn="0" w:noHBand="0" w:noVBand="1"/>
      </w:tblPr>
      <w:tblGrid>
        <w:gridCol w:w="3828"/>
        <w:gridCol w:w="1417"/>
        <w:gridCol w:w="1276"/>
        <w:gridCol w:w="883"/>
        <w:gridCol w:w="884"/>
        <w:gridCol w:w="883"/>
        <w:gridCol w:w="884"/>
        <w:gridCol w:w="860"/>
        <w:gridCol w:w="851"/>
        <w:gridCol w:w="992"/>
        <w:gridCol w:w="1063"/>
        <w:gridCol w:w="1063"/>
      </w:tblGrid>
      <w:tr w:rsidR="004A04A2" w:rsidRPr="00BF2BB4" w14:paraId="6FBEE679" w14:textId="70B655D9" w:rsidTr="00F24D4B">
        <w:trPr>
          <w:trHeight w:val="300"/>
        </w:trPr>
        <w:tc>
          <w:tcPr>
            <w:tcW w:w="3828" w:type="dxa"/>
            <w:vMerge w:val="restart"/>
            <w:tcBorders>
              <w:top w:val="nil"/>
              <w:left w:val="nil"/>
              <w:bottom w:val="nil"/>
              <w:right w:val="single" w:sz="4" w:space="0" w:color="FFFFFF"/>
            </w:tcBorders>
            <w:shd w:val="clear" w:color="000000" w:fill="009DE0"/>
            <w:noWrap/>
            <w:vAlign w:val="center"/>
            <w:hideMark/>
          </w:tcPr>
          <w:p w14:paraId="774E2100"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 xml:space="preserve">Fund </w:t>
            </w:r>
          </w:p>
        </w:tc>
        <w:tc>
          <w:tcPr>
            <w:tcW w:w="2693" w:type="dxa"/>
            <w:gridSpan w:val="2"/>
            <w:tcBorders>
              <w:top w:val="nil"/>
              <w:left w:val="single" w:sz="4" w:space="0" w:color="FFFFFF"/>
              <w:bottom w:val="nil"/>
              <w:right w:val="single" w:sz="4" w:space="0" w:color="FFFFFF"/>
            </w:tcBorders>
            <w:shd w:val="clear" w:color="000000" w:fill="0076A8"/>
            <w:noWrap/>
            <w:vAlign w:val="center"/>
            <w:hideMark/>
          </w:tcPr>
          <w:p w14:paraId="0B54F6E9"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Total Proposals</w:t>
            </w:r>
          </w:p>
        </w:tc>
        <w:tc>
          <w:tcPr>
            <w:tcW w:w="4394" w:type="dxa"/>
            <w:gridSpan w:val="5"/>
            <w:tcBorders>
              <w:top w:val="nil"/>
              <w:left w:val="single" w:sz="4" w:space="0" w:color="FFFFFF"/>
              <w:bottom w:val="nil"/>
              <w:right w:val="single" w:sz="4" w:space="0" w:color="FFFFFF"/>
            </w:tcBorders>
            <w:shd w:val="clear" w:color="000000" w:fill="009DE0"/>
            <w:noWrap/>
            <w:vAlign w:val="center"/>
            <w:hideMark/>
          </w:tcPr>
          <w:p w14:paraId="55911080"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Vote Decision</w:t>
            </w:r>
          </w:p>
        </w:tc>
        <w:tc>
          <w:tcPr>
            <w:tcW w:w="1843" w:type="dxa"/>
            <w:gridSpan w:val="2"/>
            <w:tcBorders>
              <w:top w:val="nil"/>
              <w:left w:val="single" w:sz="4" w:space="0" w:color="FFFFFF"/>
              <w:bottom w:val="nil"/>
              <w:right w:val="nil"/>
            </w:tcBorders>
            <w:shd w:val="clear" w:color="000000" w:fill="009DE0"/>
            <w:noWrap/>
            <w:vAlign w:val="center"/>
            <w:hideMark/>
          </w:tcPr>
          <w:p w14:paraId="3932DFC2"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 xml:space="preserve">For/Against </w:t>
            </w:r>
            <w:proofErr w:type="spellStart"/>
            <w:r w:rsidRPr="00BF2BB4">
              <w:rPr>
                <w:b/>
                <w:bCs/>
                <w:color w:val="FFFFFF"/>
                <w:sz w:val="18"/>
                <w:szCs w:val="18"/>
                <w:lang w:eastAsia="en-GB"/>
              </w:rPr>
              <w:t>Mgmt</w:t>
            </w:r>
            <w:proofErr w:type="spellEnd"/>
          </w:p>
        </w:tc>
        <w:tc>
          <w:tcPr>
            <w:tcW w:w="2126" w:type="dxa"/>
            <w:gridSpan w:val="2"/>
            <w:tcBorders>
              <w:top w:val="nil"/>
              <w:left w:val="single" w:sz="4" w:space="0" w:color="FFFFFF"/>
              <w:bottom w:val="nil"/>
              <w:right w:val="nil"/>
            </w:tcBorders>
            <w:shd w:val="clear" w:color="000000" w:fill="009DE0"/>
            <w:vAlign w:val="center"/>
          </w:tcPr>
          <w:p w14:paraId="1E085B06" w14:textId="27AD1965" w:rsidR="004A04A2" w:rsidRPr="00BF2BB4" w:rsidRDefault="004A04A2" w:rsidP="004A04A2">
            <w:pPr>
              <w:spacing w:after="0"/>
              <w:jc w:val="center"/>
              <w:rPr>
                <w:b/>
                <w:bCs/>
                <w:color w:val="FFFFFF"/>
                <w:sz w:val="18"/>
                <w:szCs w:val="18"/>
                <w:lang w:eastAsia="en-GB"/>
              </w:rPr>
            </w:pPr>
            <w:r>
              <w:rPr>
                <w:b/>
                <w:bCs/>
                <w:color w:val="FFFFFF"/>
                <w:sz w:val="18"/>
                <w:szCs w:val="18"/>
                <w:lang w:eastAsia="en-GB"/>
              </w:rPr>
              <w:t>Meetings</w:t>
            </w:r>
          </w:p>
        </w:tc>
      </w:tr>
      <w:tr w:rsidR="004A04A2" w:rsidRPr="00BF2BB4" w14:paraId="2F58CB83" w14:textId="4198ABF4" w:rsidTr="0013763D">
        <w:trPr>
          <w:trHeight w:val="300"/>
        </w:trPr>
        <w:tc>
          <w:tcPr>
            <w:tcW w:w="3828" w:type="dxa"/>
            <w:vMerge/>
            <w:tcBorders>
              <w:top w:val="nil"/>
              <w:left w:val="nil"/>
              <w:bottom w:val="nil"/>
              <w:right w:val="single" w:sz="4" w:space="0" w:color="FFFFFF"/>
            </w:tcBorders>
            <w:vAlign w:val="center"/>
            <w:hideMark/>
          </w:tcPr>
          <w:p w14:paraId="099C975D" w14:textId="77777777" w:rsidR="004A04A2" w:rsidRPr="00BF2BB4" w:rsidRDefault="004A04A2" w:rsidP="00F16DFD">
            <w:pPr>
              <w:spacing w:after="0"/>
              <w:rPr>
                <w:b/>
                <w:bCs/>
                <w:color w:val="FFFFFF"/>
                <w:sz w:val="18"/>
                <w:szCs w:val="18"/>
                <w:lang w:eastAsia="en-GB"/>
              </w:rPr>
            </w:pPr>
          </w:p>
        </w:tc>
        <w:tc>
          <w:tcPr>
            <w:tcW w:w="1417" w:type="dxa"/>
            <w:tcBorders>
              <w:top w:val="nil"/>
              <w:left w:val="single" w:sz="4" w:space="0" w:color="FFFFFF"/>
              <w:bottom w:val="nil"/>
              <w:right w:val="nil"/>
            </w:tcBorders>
            <w:shd w:val="clear" w:color="000000" w:fill="0076A8"/>
            <w:noWrap/>
            <w:vAlign w:val="center"/>
            <w:hideMark/>
          </w:tcPr>
          <w:p w14:paraId="5767715F"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Eligible Proposals</w:t>
            </w:r>
          </w:p>
        </w:tc>
        <w:tc>
          <w:tcPr>
            <w:tcW w:w="1276" w:type="dxa"/>
            <w:tcBorders>
              <w:top w:val="nil"/>
              <w:left w:val="nil"/>
              <w:bottom w:val="nil"/>
              <w:right w:val="single" w:sz="4" w:space="0" w:color="FFFFFF"/>
            </w:tcBorders>
            <w:shd w:val="clear" w:color="000000" w:fill="0076A8"/>
            <w:noWrap/>
            <w:vAlign w:val="center"/>
            <w:hideMark/>
          </w:tcPr>
          <w:p w14:paraId="36753842"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Proposals Voted On</w:t>
            </w:r>
          </w:p>
        </w:tc>
        <w:tc>
          <w:tcPr>
            <w:tcW w:w="883" w:type="dxa"/>
            <w:tcBorders>
              <w:top w:val="nil"/>
              <w:left w:val="single" w:sz="4" w:space="0" w:color="FFFFFF"/>
              <w:bottom w:val="nil"/>
              <w:right w:val="nil"/>
            </w:tcBorders>
            <w:shd w:val="clear" w:color="000000" w:fill="00547A"/>
            <w:noWrap/>
            <w:vAlign w:val="center"/>
            <w:hideMark/>
          </w:tcPr>
          <w:p w14:paraId="49FC0149"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For</w:t>
            </w:r>
          </w:p>
        </w:tc>
        <w:tc>
          <w:tcPr>
            <w:tcW w:w="884" w:type="dxa"/>
            <w:tcBorders>
              <w:top w:val="nil"/>
              <w:left w:val="nil"/>
              <w:bottom w:val="nil"/>
              <w:right w:val="nil"/>
            </w:tcBorders>
            <w:shd w:val="clear" w:color="000000" w:fill="00547A"/>
            <w:noWrap/>
            <w:vAlign w:val="center"/>
            <w:hideMark/>
          </w:tcPr>
          <w:p w14:paraId="63CA2808"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Against</w:t>
            </w:r>
          </w:p>
        </w:tc>
        <w:tc>
          <w:tcPr>
            <w:tcW w:w="883" w:type="dxa"/>
            <w:tcBorders>
              <w:top w:val="nil"/>
              <w:left w:val="nil"/>
              <w:bottom w:val="nil"/>
              <w:right w:val="nil"/>
            </w:tcBorders>
            <w:shd w:val="clear" w:color="000000" w:fill="00547A"/>
            <w:noWrap/>
            <w:vAlign w:val="center"/>
            <w:hideMark/>
          </w:tcPr>
          <w:p w14:paraId="5D6EA4EE"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Abstain</w:t>
            </w:r>
          </w:p>
        </w:tc>
        <w:tc>
          <w:tcPr>
            <w:tcW w:w="884" w:type="dxa"/>
            <w:tcBorders>
              <w:top w:val="nil"/>
              <w:left w:val="nil"/>
              <w:bottom w:val="nil"/>
              <w:right w:val="nil"/>
            </w:tcBorders>
            <w:shd w:val="clear" w:color="000000" w:fill="00547A"/>
            <w:noWrap/>
            <w:vAlign w:val="center"/>
            <w:hideMark/>
          </w:tcPr>
          <w:p w14:paraId="78BA191F"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No Action</w:t>
            </w:r>
          </w:p>
        </w:tc>
        <w:tc>
          <w:tcPr>
            <w:tcW w:w="860" w:type="dxa"/>
            <w:tcBorders>
              <w:top w:val="nil"/>
              <w:left w:val="nil"/>
              <w:bottom w:val="nil"/>
              <w:right w:val="single" w:sz="4" w:space="0" w:color="FFFFFF"/>
            </w:tcBorders>
            <w:shd w:val="clear" w:color="000000" w:fill="00547A"/>
            <w:noWrap/>
            <w:vAlign w:val="center"/>
            <w:hideMark/>
          </w:tcPr>
          <w:p w14:paraId="1662B23A"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Other</w:t>
            </w:r>
          </w:p>
        </w:tc>
        <w:tc>
          <w:tcPr>
            <w:tcW w:w="851" w:type="dxa"/>
            <w:tcBorders>
              <w:top w:val="nil"/>
              <w:left w:val="single" w:sz="4" w:space="0" w:color="FFFFFF"/>
              <w:bottom w:val="nil"/>
              <w:right w:val="nil"/>
            </w:tcBorders>
            <w:shd w:val="clear" w:color="000000" w:fill="00547A"/>
            <w:noWrap/>
            <w:vAlign w:val="center"/>
            <w:hideMark/>
          </w:tcPr>
          <w:p w14:paraId="635C0734"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For</w:t>
            </w:r>
          </w:p>
        </w:tc>
        <w:tc>
          <w:tcPr>
            <w:tcW w:w="992" w:type="dxa"/>
            <w:tcBorders>
              <w:top w:val="nil"/>
              <w:left w:val="nil"/>
              <w:bottom w:val="nil"/>
              <w:right w:val="nil"/>
            </w:tcBorders>
            <w:shd w:val="clear" w:color="000000" w:fill="00547A"/>
            <w:noWrap/>
            <w:vAlign w:val="center"/>
            <w:hideMark/>
          </w:tcPr>
          <w:p w14:paraId="5C8D2F34" w14:textId="77777777" w:rsidR="004A04A2" w:rsidRPr="00BF2BB4" w:rsidRDefault="004A04A2" w:rsidP="00F16DFD">
            <w:pPr>
              <w:spacing w:after="0"/>
              <w:jc w:val="center"/>
              <w:rPr>
                <w:b/>
                <w:bCs/>
                <w:color w:val="FFFFFF"/>
                <w:sz w:val="18"/>
                <w:szCs w:val="18"/>
                <w:lang w:eastAsia="en-GB"/>
              </w:rPr>
            </w:pPr>
            <w:r w:rsidRPr="00BF2BB4">
              <w:rPr>
                <w:b/>
                <w:bCs/>
                <w:color w:val="FFFFFF"/>
                <w:sz w:val="18"/>
                <w:szCs w:val="18"/>
                <w:lang w:eastAsia="en-GB"/>
              </w:rPr>
              <w:t>Against</w:t>
            </w:r>
          </w:p>
        </w:tc>
        <w:tc>
          <w:tcPr>
            <w:tcW w:w="1063" w:type="dxa"/>
            <w:tcBorders>
              <w:top w:val="nil"/>
              <w:left w:val="nil"/>
              <w:bottom w:val="nil"/>
              <w:right w:val="nil"/>
            </w:tcBorders>
            <w:shd w:val="clear" w:color="000000" w:fill="00547A"/>
            <w:vAlign w:val="center"/>
          </w:tcPr>
          <w:p w14:paraId="56384E58" w14:textId="409FD792" w:rsidR="004A04A2" w:rsidRPr="00BF2BB4" w:rsidRDefault="004A04A2" w:rsidP="004A04A2">
            <w:pPr>
              <w:spacing w:after="0"/>
              <w:jc w:val="center"/>
              <w:rPr>
                <w:b/>
                <w:bCs/>
                <w:color w:val="FFFFFF"/>
                <w:sz w:val="18"/>
                <w:szCs w:val="18"/>
                <w:lang w:eastAsia="en-GB"/>
              </w:rPr>
            </w:pPr>
            <w:r>
              <w:rPr>
                <w:b/>
                <w:bCs/>
                <w:color w:val="FFFFFF"/>
                <w:sz w:val="18"/>
                <w:szCs w:val="18"/>
                <w:lang w:eastAsia="en-GB"/>
              </w:rPr>
              <w:t>No.</w:t>
            </w:r>
          </w:p>
        </w:tc>
        <w:tc>
          <w:tcPr>
            <w:tcW w:w="1063" w:type="dxa"/>
            <w:tcBorders>
              <w:top w:val="nil"/>
              <w:left w:val="nil"/>
              <w:bottom w:val="nil"/>
              <w:right w:val="nil"/>
            </w:tcBorders>
            <w:shd w:val="clear" w:color="000000" w:fill="00547A"/>
            <w:vAlign w:val="center"/>
          </w:tcPr>
          <w:p w14:paraId="19098104" w14:textId="3969F583" w:rsidR="004A04A2" w:rsidRPr="00BF2BB4" w:rsidRDefault="004A04A2" w:rsidP="004A04A2">
            <w:pPr>
              <w:spacing w:after="0"/>
              <w:jc w:val="center"/>
              <w:rPr>
                <w:b/>
                <w:bCs/>
                <w:color w:val="FFFFFF"/>
                <w:sz w:val="18"/>
                <w:szCs w:val="18"/>
                <w:lang w:eastAsia="en-GB"/>
              </w:rPr>
            </w:pPr>
            <w:r>
              <w:rPr>
                <w:b/>
                <w:bCs/>
                <w:color w:val="FFFFFF"/>
                <w:sz w:val="18"/>
                <w:szCs w:val="18"/>
                <w:lang w:eastAsia="en-GB"/>
              </w:rPr>
              <w:t>Against</w:t>
            </w:r>
          </w:p>
        </w:tc>
      </w:tr>
      <w:tr w:rsidR="00A94F5A" w:rsidRPr="00BF2BB4" w14:paraId="79BA4B28" w14:textId="1CA733F9" w:rsidTr="00B41EB5">
        <w:trPr>
          <w:trHeight w:val="315"/>
        </w:trPr>
        <w:tc>
          <w:tcPr>
            <w:tcW w:w="3828" w:type="dxa"/>
            <w:tcBorders>
              <w:top w:val="nil"/>
              <w:left w:val="nil"/>
              <w:bottom w:val="single" w:sz="8" w:space="0" w:color="00B0F0"/>
              <w:right w:val="nil"/>
            </w:tcBorders>
            <w:noWrap/>
            <w:vAlign w:val="center"/>
            <w:hideMark/>
          </w:tcPr>
          <w:p w14:paraId="7CDEC279" w14:textId="13DF58E2" w:rsidR="00A94F5A" w:rsidRPr="00A25175" w:rsidRDefault="00A94F5A" w:rsidP="00A94F5A">
            <w:pPr>
              <w:spacing w:after="0"/>
              <w:rPr>
                <w:color w:val="002C77"/>
                <w:sz w:val="18"/>
                <w:szCs w:val="18"/>
                <w:lang w:eastAsia="en-GB"/>
              </w:rPr>
            </w:pPr>
            <w:r>
              <w:rPr>
                <w:rFonts w:ascii="Arial" w:hAnsi="Arial" w:cs="Arial"/>
                <w:color w:val="002C77"/>
                <w:sz w:val="18"/>
                <w:szCs w:val="18"/>
              </w:rPr>
              <w:t>Mercer Passive Global Equity Fund</w:t>
            </w:r>
          </w:p>
        </w:tc>
        <w:tc>
          <w:tcPr>
            <w:tcW w:w="1417" w:type="dxa"/>
            <w:tcBorders>
              <w:top w:val="nil"/>
              <w:left w:val="nil"/>
              <w:bottom w:val="single" w:sz="8" w:space="0" w:color="00B0F0"/>
              <w:right w:val="nil"/>
            </w:tcBorders>
            <w:noWrap/>
            <w:vAlign w:val="center"/>
            <w:hideMark/>
          </w:tcPr>
          <w:p w14:paraId="08D791E6" w14:textId="5C936325"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20,512</w:t>
            </w:r>
          </w:p>
        </w:tc>
        <w:tc>
          <w:tcPr>
            <w:tcW w:w="1276" w:type="dxa"/>
            <w:tcBorders>
              <w:top w:val="nil"/>
              <w:left w:val="nil"/>
              <w:bottom w:val="single" w:sz="8" w:space="0" w:color="00B0F0"/>
              <w:right w:val="single" w:sz="8" w:space="0" w:color="FFFFFF"/>
            </w:tcBorders>
            <w:noWrap/>
            <w:vAlign w:val="center"/>
            <w:hideMark/>
          </w:tcPr>
          <w:p w14:paraId="5104D46F" w14:textId="1762B1A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20,038</w:t>
            </w:r>
          </w:p>
        </w:tc>
        <w:tc>
          <w:tcPr>
            <w:tcW w:w="883" w:type="dxa"/>
            <w:tcBorders>
              <w:top w:val="nil"/>
              <w:left w:val="nil"/>
              <w:bottom w:val="single" w:sz="8" w:space="0" w:color="00B0F0"/>
              <w:right w:val="nil"/>
            </w:tcBorders>
            <w:noWrap/>
            <w:vAlign w:val="center"/>
            <w:hideMark/>
          </w:tcPr>
          <w:p w14:paraId="415682C9" w14:textId="0476F25F"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88%</w:t>
            </w:r>
          </w:p>
        </w:tc>
        <w:tc>
          <w:tcPr>
            <w:tcW w:w="884" w:type="dxa"/>
            <w:tcBorders>
              <w:top w:val="nil"/>
              <w:left w:val="nil"/>
              <w:bottom w:val="single" w:sz="8" w:space="0" w:color="00B0F0"/>
              <w:right w:val="nil"/>
            </w:tcBorders>
            <w:noWrap/>
            <w:vAlign w:val="center"/>
            <w:hideMark/>
          </w:tcPr>
          <w:p w14:paraId="2EE43868" w14:textId="6283471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9%</w:t>
            </w:r>
          </w:p>
        </w:tc>
        <w:tc>
          <w:tcPr>
            <w:tcW w:w="883" w:type="dxa"/>
            <w:tcBorders>
              <w:top w:val="nil"/>
              <w:left w:val="nil"/>
              <w:bottom w:val="single" w:sz="8" w:space="0" w:color="00B0F0"/>
              <w:right w:val="nil"/>
            </w:tcBorders>
            <w:noWrap/>
            <w:vAlign w:val="center"/>
            <w:hideMark/>
          </w:tcPr>
          <w:p w14:paraId="0454AA07" w14:textId="03905A8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84" w:type="dxa"/>
            <w:tcBorders>
              <w:top w:val="nil"/>
              <w:left w:val="nil"/>
              <w:bottom w:val="single" w:sz="8" w:space="0" w:color="00B0F0"/>
              <w:right w:val="nil"/>
            </w:tcBorders>
            <w:noWrap/>
            <w:vAlign w:val="center"/>
            <w:hideMark/>
          </w:tcPr>
          <w:p w14:paraId="3F0B8385" w14:textId="1FBC7FB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w:t>
            </w:r>
          </w:p>
        </w:tc>
        <w:tc>
          <w:tcPr>
            <w:tcW w:w="860" w:type="dxa"/>
            <w:tcBorders>
              <w:top w:val="nil"/>
              <w:left w:val="nil"/>
              <w:bottom w:val="single" w:sz="8" w:space="0" w:color="00B0F0"/>
              <w:right w:val="single" w:sz="8" w:space="0" w:color="FFFFFF"/>
            </w:tcBorders>
            <w:noWrap/>
            <w:vAlign w:val="center"/>
            <w:hideMark/>
          </w:tcPr>
          <w:p w14:paraId="37C148E7" w14:textId="2EE4C8D0"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0D16999E" w14:textId="5DFBEE68"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92%</w:t>
            </w:r>
          </w:p>
        </w:tc>
        <w:tc>
          <w:tcPr>
            <w:tcW w:w="992" w:type="dxa"/>
            <w:tcBorders>
              <w:top w:val="nil"/>
              <w:left w:val="nil"/>
              <w:bottom w:val="single" w:sz="8" w:space="0" w:color="00B0F0"/>
              <w:right w:val="single" w:sz="8" w:space="0" w:color="FFFFFF"/>
            </w:tcBorders>
            <w:noWrap/>
            <w:vAlign w:val="center"/>
            <w:hideMark/>
          </w:tcPr>
          <w:p w14:paraId="370FF1C1" w14:textId="0ED10B6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8%</w:t>
            </w:r>
          </w:p>
        </w:tc>
        <w:tc>
          <w:tcPr>
            <w:tcW w:w="1063" w:type="dxa"/>
            <w:tcBorders>
              <w:top w:val="nil"/>
              <w:left w:val="nil"/>
              <w:bottom w:val="single" w:sz="8" w:space="0" w:color="00B0F0"/>
              <w:right w:val="nil"/>
            </w:tcBorders>
            <w:vAlign w:val="center"/>
          </w:tcPr>
          <w:p w14:paraId="1BEA66C0" w14:textId="5398EFE4"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1421</w:t>
            </w:r>
          </w:p>
        </w:tc>
        <w:tc>
          <w:tcPr>
            <w:tcW w:w="1063" w:type="dxa"/>
            <w:tcBorders>
              <w:top w:val="nil"/>
              <w:left w:val="nil"/>
              <w:bottom w:val="single" w:sz="8" w:space="0" w:color="00B0F0"/>
              <w:right w:val="nil"/>
            </w:tcBorders>
            <w:vAlign w:val="center"/>
          </w:tcPr>
          <w:p w14:paraId="55818FCD" w14:textId="750E75A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49%</w:t>
            </w:r>
          </w:p>
        </w:tc>
      </w:tr>
      <w:tr w:rsidR="00A94F5A" w:rsidRPr="00BF2BB4" w14:paraId="2EAAD606" w14:textId="66769C16" w:rsidTr="00B41EB5">
        <w:trPr>
          <w:trHeight w:val="315"/>
        </w:trPr>
        <w:tc>
          <w:tcPr>
            <w:tcW w:w="3828" w:type="dxa"/>
            <w:tcBorders>
              <w:top w:val="nil"/>
              <w:left w:val="nil"/>
              <w:bottom w:val="single" w:sz="8" w:space="0" w:color="00B0F0"/>
              <w:right w:val="nil"/>
            </w:tcBorders>
            <w:noWrap/>
            <w:vAlign w:val="center"/>
            <w:hideMark/>
          </w:tcPr>
          <w:p w14:paraId="7AE239C2" w14:textId="0A580AE8"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Global Equity CCF</w:t>
            </w:r>
          </w:p>
        </w:tc>
        <w:tc>
          <w:tcPr>
            <w:tcW w:w="1417" w:type="dxa"/>
            <w:tcBorders>
              <w:top w:val="nil"/>
              <w:left w:val="nil"/>
              <w:bottom w:val="single" w:sz="8" w:space="0" w:color="00B0F0"/>
              <w:right w:val="nil"/>
            </w:tcBorders>
            <w:noWrap/>
            <w:vAlign w:val="center"/>
            <w:hideMark/>
          </w:tcPr>
          <w:p w14:paraId="53CECDF9" w14:textId="0854CAAD"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19,974</w:t>
            </w:r>
          </w:p>
        </w:tc>
        <w:tc>
          <w:tcPr>
            <w:tcW w:w="1276" w:type="dxa"/>
            <w:tcBorders>
              <w:top w:val="nil"/>
              <w:left w:val="nil"/>
              <w:bottom w:val="single" w:sz="8" w:space="0" w:color="00B0F0"/>
              <w:right w:val="single" w:sz="8" w:space="0" w:color="FFFFFF"/>
            </w:tcBorders>
            <w:noWrap/>
            <w:vAlign w:val="center"/>
            <w:hideMark/>
          </w:tcPr>
          <w:p w14:paraId="3FC0A518" w14:textId="0631E5E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17,412</w:t>
            </w:r>
          </w:p>
        </w:tc>
        <w:tc>
          <w:tcPr>
            <w:tcW w:w="883" w:type="dxa"/>
            <w:tcBorders>
              <w:top w:val="nil"/>
              <w:left w:val="nil"/>
              <w:bottom w:val="single" w:sz="8" w:space="0" w:color="00B0F0"/>
              <w:right w:val="nil"/>
            </w:tcBorders>
            <w:noWrap/>
            <w:vAlign w:val="center"/>
            <w:hideMark/>
          </w:tcPr>
          <w:p w14:paraId="5C8A692D" w14:textId="52D9F83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76%</w:t>
            </w:r>
          </w:p>
        </w:tc>
        <w:tc>
          <w:tcPr>
            <w:tcW w:w="884" w:type="dxa"/>
            <w:tcBorders>
              <w:top w:val="nil"/>
              <w:left w:val="nil"/>
              <w:bottom w:val="single" w:sz="8" w:space="0" w:color="00B0F0"/>
              <w:right w:val="nil"/>
            </w:tcBorders>
            <w:noWrap/>
            <w:vAlign w:val="center"/>
            <w:hideMark/>
          </w:tcPr>
          <w:p w14:paraId="44F1CCEC" w14:textId="7CFB4AE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11%</w:t>
            </w:r>
          </w:p>
        </w:tc>
        <w:tc>
          <w:tcPr>
            <w:tcW w:w="883" w:type="dxa"/>
            <w:tcBorders>
              <w:top w:val="nil"/>
              <w:left w:val="nil"/>
              <w:bottom w:val="single" w:sz="8" w:space="0" w:color="00B0F0"/>
              <w:right w:val="nil"/>
            </w:tcBorders>
            <w:noWrap/>
            <w:vAlign w:val="center"/>
            <w:hideMark/>
          </w:tcPr>
          <w:p w14:paraId="0B4F50F4" w14:textId="736F8B6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84" w:type="dxa"/>
            <w:tcBorders>
              <w:top w:val="nil"/>
              <w:left w:val="nil"/>
              <w:bottom w:val="single" w:sz="8" w:space="0" w:color="00B0F0"/>
              <w:right w:val="nil"/>
            </w:tcBorders>
            <w:noWrap/>
            <w:vAlign w:val="center"/>
            <w:hideMark/>
          </w:tcPr>
          <w:p w14:paraId="7CE16499" w14:textId="5F1140E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13%</w:t>
            </w:r>
          </w:p>
        </w:tc>
        <w:tc>
          <w:tcPr>
            <w:tcW w:w="860" w:type="dxa"/>
            <w:tcBorders>
              <w:top w:val="nil"/>
              <w:left w:val="nil"/>
              <w:bottom w:val="single" w:sz="8" w:space="0" w:color="00B0F0"/>
              <w:right w:val="single" w:sz="8" w:space="0" w:color="FFFFFF"/>
            </w:tcBorders>
            <w:noWrap/>
            <w:vAlign w:val="center"/>
            <w:hideMark/>
          </w:tcPr>
          <w:p w14:paraId="6DDD381E" w14:textId="70DF7F97"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5ABEBE86" w14:textId="0883C5D1"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82%</w:t>
            </w:r>
          </w:p>
        </w:tc>
        <w:tc>
          <w:tcPr>
            <w:tcW w:w="992" w:type="dxa"/>
            <w:tcBorders>
              <w:top w:val="nil"/>
              <w:left w:val="nil"/>
              <w:bottom w:val="single" w:sz="8" w:space="0" w:color="00B0F0"/>
              <w:right w:val="single" w:sz="8" w:space="0" w:color="FFFFFF"/>
            </w:tcBorders>
            <w:noWrap/>
            <w:vAlign w:val="center"/>
            <w:hideMark/>
          </w:tcPr>
          <w:p w14:paraId="629FFC9C" w14:textId="341D269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18%</w:t>
            </w:r>
          </w:p>
        </w:tc>
        <w:tc>
          <w:tcPr>
            <w:tcW w:w="1063" w:type="dxa"/>
            <w:tcBorders>
              <w:top w:val="nil"/>
              <w:left w:val="nil"/>
              <w:bottom w:val="single" w:sz="8" w:space="0" w:color="00B0F0"/>
              <w:right w:val="nil"/>
            </w:tcBorders>
            <w:vAlign w:val="center"/>
          </w:tcPr>
          <w:p w14:paraId="1DF6E42F" w14:textId="5561A9E0"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1422</w:t>
            </w:r>
          </w:p>
        </w:tc>
        <w:tc>
          <w:tcPr>
            <w:tcW w:w="1063" w:type="dxa"/>
            <w:tcBorders>
              <w:top w:val="nil"/>
              <w:left w:val="nil"/>
              <w:bottom w:val="single" w:sz="8" w:space="0" w:color="00B0F0"/>
              <w:right w:val="nil"/>
            </w:tcBorders>
            <w:vAlign w:val="center"/>
          </w:tcPr>
          <w:p w14:paraId="6F4EF86B" w14:textId="065977B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70%</w:t>
            </w:r>
          </w:p>
        </w:tc>
      </w:tr>
      <w:tr w:rsidR="00A94F5A" w:rsidRPr="00BF2BB4" w14:paraId="0EBE6DE8" w14:textId="439D0773" w:rsidTr="00B41EB5">
        <w:trPr>
          <w:trHeight w:val="315"/>
        </w:trPr>
        <w:tc>
          <w:tcPr>
            <w:tcW w:w="3828" w:type="dxa"/>
            <w:tcBorders>
              <w:top w:val="nil"/>
              <w:left w:val="nil"/>
              <w:bottom w:val="single" w:sz="8" w:space="0" w:color="00B0F0"/>
              <w:right w:val="nil"/>
            </w:tcBorders>
            <w:noWrap/>
            <w:vAlign w:val="center"/>
            <w:hideMark/>
          </w:tcPr>
          <w:p w14:paraId="6AE1667D" w14:textId="1DA4E15B"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Emerging Markets Equity Fund</w:t>
            </w:r>
          </w:p>
        </w:tc>
        <w:tc>
          <w:tcPr>
            <w:tcW w:w="1417" w:type="dxa"/>
            <w:tcBorders>
              <w:top w:val="nil"/>
              <w:left w:val="nil"/>
              <w:bottom w:val="single" w:sz="8" w:space="0" w:color="00B0F0"/>
              <w:right w:val="nil"/>
            </w:tcBorders>
            <w:noWrap/>
            <w:vAlign w:val="center"/>
            <w:hideMark/>
          </w:tcPr>
          <w:p w14:paraId="6425C018" w14:textId="0F9B648C"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21,886</w:t>
            </w:r>
          </w:p>
        </w:tc>
        <w:tc>
          <w:tcPr>
            <w:tcW w:w="1276" w:type="dxa"/>
            <w:tcBorders>
              <w:top w:val="nil"/>
              <w:left w:val="nil"/>
              <w:bottom w:val="single" w:sz="8" w:space="0" w:color="00B0F0"/>
              <w:right w:val="single" w:sz="8" w:space="0" w:color="FFFFFF"/>
            </w:tcBorders>
            <w:noWrap/>
            <w:vAlign w:val="center"/>
            <w:hideMark/>
          </w:tcPr>
          <w:p w14:paraId="17474E22" w14:textId="25DCED8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20,352</w:t>
            </w:r>
          </w:p>
        </w:tc>
        <w:tc>
          <w:tcPr>
            <w:tcW w:w="883" w:type="dxa"/>
            <w:tcBorders>
              <w:top w:val="nil"/>
              <w:left w:val="nil"/>
              <w:bottom w:val="single" w:sz="8" w:space="0" w:color="00B0F0"/>
              <w:right w:val="nil"/>
            </w:tcBorders>
            <w:noWrap/>
            <w:vAlign w:val="center"/>
            <w:hideMark/>
          </w:tcPr>
          <w:p w14:paraId="258D3A08" w14:textId="109BA995"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75%</w:t>
            </w:r>
          </w:p>
        </w:tc>
        <w:tc>
          <w:tcPr>
            <w:tcW w:w="884" w:type="dxa"/>
            <w:tcBorders>
              <w:top w:val="nil"/>
              <w:left w:val="nil"/>
              <w:bottom w:val="single" w:sz="8" w:space="0" w:color="00B0F0"/>
              <w:right w:val="nil"/>
            </w:tcBorders>
            <w:noWrap/>
            <w:vAlign w:val="center"/>
            <w:hideMark/>
          </w:tcPr>
          <w:p w14:paraId="35F809EB" w14:textId="7A2E59E0"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18%</w:t>
            </w:r>
          </w:p>
        </w:tc>
        <w:tc>
          <w:tcPr>
            <w:tcW w:w="883" w:type="dxa"/>
            <w:tcBorders>
              <w:top w:val="nil"/>
              <w:left w:val="nil"/>
              <w:bottom w:val="single" w:sz="8" w:space="0" w:color="00B0F0"/>
              <w:right w:val="nil"/>
            </w:tcBorders>
            <w:noWrap/>
            <w:vAlign w:val="center"/>
            <w:hideMark/>
          </w:tcPr>
          <w:p w14:paraId="07A13B04" w14:textId="058CB5A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w:t>
            </w:r>
          </w:p>
        </w:tc>
        <w:tc>
          <w:tcPr>
            <w:tcW w:w="884" w:type="dxa"/>
            <w:tcBorders>
              <w:top w:val="nil"/>
              <w:left w:val="nil"/>
              <w:bottom w:val="single" w:sz="8" w:space="0" w:color="00B0F0"/>
              <w:right w:val="nil"/>
            </w:tcBorders>
            <w:noWrap/>
            <w:vAlign w:val="center"/>
            <w:hideMark/>
          </w:tcPr>
          <w:p w14:paraId="4F61B63C" w14:textId="37846AD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4%</w:t>
            </w:r>
          </w:p>
        </w:tc>
        <w:tc>
          <w:tcPr>
            <w:tcW w:w="860" w:type="dxa"/>
            <w:tcBorders>
              <w:top w:val="nil"/>
              <w:left w:val="nil"/>
              <w:bottom w:val="single" w:sz="8" w:space="0" w:color="00B0F0"/>
              <w:right w:val="single" w:sz="8" w:space="0" w:color="FFFFFF"/>
            </w:tcBorders>
            <w:noWrap/>
            <w:vAlign w:val="center"/>
            <w:hideMark/>
          </w:tcPr>
          <w:p w14:paraId="7298F4F5" w14:textId="22F33BE3"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70FA610C" w14:textId="782023A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80%</w:t>
            </w:r>
          </w:p>
        </w:tc>
        <w:tc>
          <w:tcPr>
            <w:tcW w:w="992" w:type="dxa"/>
            <w:tcBorders>
              <w:top w:val="nil"/>
              <w:left w:val="nil"/>
              <w:bottom w:val="single" w:sz="8" w:space="0" w:color="00B0F0"/>
              <w:right w:val="single" w:sz="8" w:space="0" w:color="FFFFFF"/>
            </w:tcBorders>
            <w:noWrap/>
            <w:vAlign w:val="center"/>
            <w:hideMark/>
          </w:tcPr>
          <w:p w14:paraId="506A07EA" w14:textId="0F74CEF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w:t>
            </w:r>
          </w:p>
        </w:tc>
        <w:tc>
          <w:tcPr>
            <w:tcW w:w="1063" w:type="dxa"/>
            <w:tcBorders>
              <w:top w:val="nil"/>
              <w:left w:val="nil"/>
              <w:bottom w:val="single" w:sz="8" w:space="0" w:color="00B0F0"/>
              <w:right w:val="nil"/>
            </w:tcBorders>
            <w:vAlign w:val="center"/>
          </w:tcPr>
          <w:p w14:paraId="457E2F97" w14:textId="192FA0B1"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2545</w:t>
            </w:r>
          </w:p>
        </w:tc>
        <w:tc>
          <w:tcPr>
            <w:tcW w:w="1063" w:type="dxa"/>
            <w:tcBorders>
              <w:top w:val="nil"/>
              <w:left w:val="nil"/>
              <w:bottom w:val="single" w:sz="8" w:space="0" w:color="00B0F0"/>
              <w:right w:val="nil"/>
            </w:tcBorders>
            <w:vAlign w:val="center"/>
          </w:tcPr>
          <w:p w14:paraId="7A3393E0" w14:textId="3AF78E8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50%</w:t>
            </w:r>
          </w:p>
        </w:tc>
      </w:tr>
      <w:tr w:rsidR="00A94F5A" w:rsidRPr="00BF2BB4" w14:paraId="3DCDA4FA" w14:textId="27BCF50F" w:rsidTr="00B41EB5">
        <w:trPr>
          <w:trHeight w:val="315"/>
        </w:trPr>
        <w:tc>
          <w:tcPr>
            <w:tcW w:w="3828" w:type="dxa"/>
            <w:tcBorders>
              <w:top w:val="nil"/>
              <w:left w:val="nil"/>
              <w:bottom w:val="single" w:sz="8" w:space="0" w:color="00B0F0"/>
              <w:right w:val="nil"/>
            </w:tcBorders>
            <w:noWrap/>
            <w:vAlign w:val="center"/>
            <w:hideMark/>
          </w:tcPr>
          <w:p w14:paraId="3A8B2537" w14:textId="3D55B171"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Global REITS UCITS CCF</w:t>
            </w:r>
          </w:p>
        </w:tc>
        <w:tc>
          <w:tcPr>
            <w:tcW w:w="1417" w:type="dxa"/>
            <w:tcBorders>
              <w:top w:val="nil"/>
              <w:left w:val="nil"/>
              <w:bottom w:val="single" w:sz="8" w:space="0" w:color="00B0F0"/>
              <w:right w:val="nil"/>
            </w:tcBorders>
            <w:noWrap/>
            <w:vAlign w:val="center"/>
            <w:hideMark/>
          </w:tcPr>
          <w:p w14:paraId="071F70D9" w14:textId="0FBF83B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2,987</w:t>
            </w:r>
          </w:p>
        </w:tc>
        <w:tc>
          <w:tcPr>
            <w:tcW w:w="1276" w:type="dxa"/>
            <w:tcBorders>
              <w:top w:val="nil"/>
              <w:left w:val="nil"/>
              <w:bottom w:val="single" w:sz="8" w:space="0" w:color="00B0F0"/>
              <w:right w:val="single" w:sz="8" w:space="0" w:color="FFFFFF"/>
            </w:tcBorders>
            <w:noWrap/>
            <w:vAlign w:val="center"/>
            <w:hideMark/>
          </w:tcPr>
          <w:p w14:paraId="5C38DB58" w14:textId="7FD4E243"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2,881</w:t>
            </w:r>
          </w:p>
        </w:tc>
        <w:tc>
          <w:tcPr>
            <w:tcW w:w="883" w:type="dxa"/>
            <w:tcBorders>
              <w:top w:val="nil"/>
              <w:left w:val="nil"/>
              <w:bottom w:val="single" w:sz="8" w:space="0" w:color="00B0F0"/>
              <w:right w:val="nil"/>
            </w:tcBorders>
            <w:noWrap/>
            <w:vAlign w:val="center"/>
            <w:hideMark/>
          </w:tcPr>
          <w:p w14:paraId="0C43A6BF" w14:textId="372C24C0"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77%</w:t>
            </w:r>
          </w:p>
        </w:tc>
        <w:tc>
          <w:tcPr>
            <w:tcW w:w="884" w:type="dxa"/>
            <w:tcBorders>
              <w:top w:val="nil"/>
              <w:left w:val="nil"/>
              <w:bottom w:val="single" w:sz="8" w:space="0" w:color="00B0F0"/>
              <w:right w:val="nil"/>
            </w:tcBorders>
            <w:noWrap/>
            <w:vAlign w:val="center"/>
            <w:hideMark/>
          </w:tcPr>
          <w:p w14:paraId="1A60B6D2" w14:textId="72C920C8"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19%</w:t>
            </w:r>
          </w:p>
        </w:tc>
        <w:tc>
          <w:tcPr>
            <w:tcW w:w="883" w:type="dxa"/>
            <w:tcBorders>
              <w:top w:val="nil"/>
              <w:left w:val="nil"/>
              <w:bottom w:val="single" w:sz="8" w:space="0" w:color="00B0F0"/>
              <w:right w:val="nil"/>
            </w:tcBorders>
            <w:noWrap/>
            <w:vAlign w:val="center"/>
            <w:hideMark/>
          </w:tcPr>
          <w:p w14:paraId="0B524A11" w14:textId="3D017437"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84" w:type="dxa"/>
            <w:tcBorders>
              <w:top w:val="nil"/>
              <w:left w:val="nil"/>
              <w:bottom w:val="single" w:sz="8" w:space="0" w:color="00B0F0"/>
              <w:right w:val="nil"/>
            </w:tcBorders>
            <w:noWrap/>
            <w:vAlign w:val="center"/>
            <w:hideMark/>
          </w:tcPr>
          <w:p w14:paraId="6EF0355B" w14:textId="43F21D0C"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w:t>
            </w:r>
          </w:p>
        </w:tc>
        <w:tc>
          <w:tcPr>
            <w:tcW w:w="860" w:type="dxa"/>
            <w:tcBorders>
              <w:top w:val="nil"/>
              <w:left w:val="nil"/>
              <w:bottom w:val="single" w:sz="8" w:space="0" w:color="00B0F0"/>
              <w:right w:val="single" w:sz="8" w:space="0" w:color="FFFFFF"/>
            </w:tcBorders>
            <w:noWrap/>
            <w:vAlign w:val="center"/>
            <w:hideMark/>
          </w:tcPr>
          <w:p w14:paraId="103BD355" w14:textId="755CC061"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62270D50" w14:textId="5D300EAC"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78%</w:t>
            </w:r>
          </w:p>
        </w:tc>
        <w:tc>
          <w:tcPr>
            <w:tcW w:w="992" w:type="dxa"/>
            <w:tcBorders>
              <w:top w:val="nil"/>
              <w:left w:val="nil"/>
              <w:bottom w:val="single" w:sz="8" w:space="0" w:color="00B0F0"/>
              <w:right w:val="single" w:sz="8" w:space="0" w:color="FFFFFF"/>
            </w:tcBorders>
            <w:noWrap/>
            <w:vAlign w:val="center"/>
            <w:hideMark/>
          </w:tcPr>
          <w:p w14:paraId="0F36A110" w14:textId="78AAE23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22%</w:t>
            </w:r>
          </w:p>
        </w:tc>
        <w:tc>
          <w:tcPr>
            <w:tcW w:w="1063" w:type="dxa"/>
            <w:tcBorders>
              <w:top w:val="nil"/>
              <w:left w:val="nil"/>
              <w:bottom w:val="single" w:sz="8" w:space="0" w:color="00B0F0"/>
              <w:right w:val="nil"/>
            </w:tcBorders>
            <w:vAlign w:val="center"/>
          </w:tcPr>
          <w:p w14:paraId="7EB7387B" w14:textId="1984C30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300</w:t>
            </w:r>
          </w:p>
        </w:tc>
        <w:tc>
          <w:tcPr>
            <w:tcW w:w="1063" w:type="dxa"/>
            <w:tcBorders>
              <w:top w:val="nil"/>
              <w:left w:val="nil"/>
              <w:bottom w:val="single" w:sz="8" w:space="0" w:color="00B0F0"/>
              <w:right w:val="nil"/>
            </w:tcBorders>
            <w:vAlign w:val="center"/>
          </w:tcPr>
          <w:p w14:paraId="1711FD85" w14:textId="6D3DC913"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71%</w:t>
            </w:r>
          </w:p>
        </w:tc>
      </w:tr>
      <w:tr w:rsidR="00A94F5A" w:rsidRPr="00BF2BB4" w14:paraId="72AC83BF" w14:textId="28378C38" w:rsidTr="00B41EB5">
        <w:trPr>
          <w:trHeight w:val="315"/>
        </w:trPr>
        <w:tc>
          <w:tcPr>
            <w:tcW w:w="3828" w:type="dxa"/>
            <w:tcBorders>
              <w:top w:val="nil"/>
              <w:left w:val="nil"/>
              <w:bottom w:val="single" w:sz="8" w:space="0" w:color="00B0F0"/>
              <w:right w:val="nil"/>
            </w:tcBorders>
            <w:noWrap/>
            <w:vAlign w:val="center"/>
            <w:hideMark/>
          </w:tcPr>
          <w:p w14:paraId="153ECD36" w14:textId="58EDFCCC"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Climate Transition Infrastructure Equity UCITS CCF</w:t>
            </w:r>
          </w:p>
        </w:tc>
        <w:tc>
          <w:tcPr>
            <w:tcW w:w="1417" w:type="dxa"/>
            <w:tcBorders>
              <w:top w:val="nil"/>
              <w:left w:val="nil"/>
              <w:bottom w:val="single" w:sz="8" w:space="0" w:color="00B0F0"/>
              <w:right w:val="nil"/>
            </w:tcBorders>
            <w:noWrap/>
            <w:vAlign w:val="center"/>
            <w:hideMark/>
          </w:tcPr>
          <w:p w14:paraId="2553418C" w14:textId="77941B00"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3,793</w:t>
            </w:r>
          </w:p>
        </w:tc>
        <w:tc>
          <w:tcPr>
            <w:tcW w:w="1276" w:type="dxa"/>
            <w:tcBorders>
              <w:top w:val="nil"/>
              <w:left w:val="nil"/>
              <w:bottom w:val="single" w:sz="8" w:space="0" w:color="00B0F0"/>
              <w:right w:val="single" w:sz="8" w:space="0" w:color="FFFFFF"/>
            </w:tcBorders>
            <w:noWrap/>
            <w:vAlign w:val="center"/>
            <w:hideMark/>
          </w:tcPr>
          <w:p w14:paraId="060662CB" w14:textId="06D8E4C7"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3,570</w:t>
            </w:r>
          </w:p>
        </w:tc>
        <w:tc>
          <w:tcPr>
            <w:tcW w:w="883" w:type="dxa"/>
            <w:tcBorders>
              <w:top w:val="nil"/>
              <w:left w:val="nil"/>
              <w:bottom w:val="single" w:sz="8" w:space="0" w:color="00B0F0"/>
              <w:right w:val="nil"/>
            </w:tcBorders>
            <w:noWrap/>
            <w:vAlign w:val="center"/>
            <w:hideMark/>
          </w:tcPr>
          <w:p w14:paraId="3E08AB6F" w14:textId="671647B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71%</w:t>
            </w:r>
          </w:p>
        </w:tc>
        <w:tc>
          <w:tcPr>
            <w:tcW w:w="884" w:type="dxa"/>
            <w:tcBorders>
              <w:top w:val="nil"/>
              <w:left w:val="nil"/>
              <w:bottom w:val="single" w:sz="8" w:space="0" w:color="00B0F0"/>
              <w:right w:val="nil"/>
            </w:tcBorders>
            <w:noWrap/>
            <w:vAlign w:val="center"/>
            <w:hideMark/>
          </w:tcPr>
          <w:p w14:paraId="6DA5A92C" w14:textId="5583347F"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23%</w:t>
            </w:r>
          </w:p>
        </w:tc>
        <w:tc>
          <w:tcPr>
            <w:tcW w:w="883" w:type="dxa"/>
            <w:tcBorders>
              <w:top w:val="nil"/>
              <w:left w:val="nil"/>
              <w:bottom w:val="single" w:sz="8" w:space="0" w:color="00B0F0"/>
              <w:right w:val="nil"/>
            </w:tcBorders>
            <w:noWrap/>
            <w:vAlign w:val="center"/>
            <w:hideMark/>
          </w:tcPr>
          <w:p w14:paraId="0757F3C0" w14:textId="1541CFE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w:t>
            </w:r>
          </w:p>
        </w:tc>
        <w:tc>
          <w:tcPr>
            <w:tcW w:w="884" w:type="dxa"/>
            <w:tcBorders>
              <w:top w:val="nil"/>
              <w:left w:val="nil"/>
              <w:bottom w:val="single" w:sz="8" w:space="0" w:color="00B0F0"/>
              <w:right w:val="nil"/>
            </w:tcBorders>
            <w:noWrap/>
            <w:vAlign w:val="center"/>
            <w:hideMark/>
          </w:tcPr>
          <w:p w14:paraId="542EBC7A" w14:textId="55A99EED"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4%</w:t>
            </w:r>
          </w:p>
        </w:tc>
        <w:tc>
          <w:tcPr>
            <w:tcW w:w="860" w:type="dxa"/>
            <w:tcBorders>
              <w:top w:val="nil"/>
              <w:left w:val="nil"/>
              <w:bottom w:val="single" w:sz="8" w:space="0" w:color="00B0F0"/>
              <w:right w:val="single" w:sz="8" w:space="0" w:color="FFFFFF"/>
            </w:tcBorders>
            <w:noWrap/>
            <w:vAlign w:val="center"/>
            <w:hideMark/>
          </w:tcPr>
          <w:p w14:paraId="20018936" w14:textId="6A38238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75F99DE0" w14:textId="4CFAA86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75%</w:t>
            </w:r>
          </w:p>
        </w:tc>
        <w:tc>
          <w:tcPr>
            <w:tcW w:w="992" w:type="dxa"/>
            <w:tcBorders>
              <w:top w:val="nil"/>
              <w:left w:val="nil"/>
              <w:bottom w:val="single" w:sz="8" w:space="0" w:color="00B0F0"/>
              <w:right w:val="single" w:sz="8" w:space="0" w:color="FFFFFF"/>
            </w:tcBorders>
            <w:noWrap/>
            <w:vAlign w:val="center"/>
            <w:hideMark/>
          </w:tcPr>
          <w:p w14:paraId="042AA299" w14:textId="2EB73497"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25%</w:t>
            </w:r>
          </w:p>
        </w:tc>
        <w:tc>
          <w:tcPr>
            <w:tcW w:w="1063" w:type="dxa"/>
            <w:tcBorders>
              <w:top w:val="nil"/>
              <w:left w:val="nil"/>
              <w:bottom w:val="single" w:sz="8" w:space="0" w:color="00B0F0"/>
              <w:right w:val="nil"/>
            </w:tcBorders>
            <w:vAlign w:val="center"/>
          </w:tcPr>
          <w:p w14:paraId="123D8397" w14:textId="2E1B04AC"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371</w:t>
            </w:r>
          </w:p>
        </w:tc>
        <w:tc>
          <w:tcPr>
            <w:tcW w:w="1063" w:type="dxa"/>
            <w:tcBorders>
              <w:top w:val="nil"/>
              <w:left w:val="nil"/>
              <w:bottom w:val="single" w:sz="8" w:space="0" w:color="00B0F0"/>
              <w:right w:val="nil"/>
            </w:tcBorders>
            <w:vAlign w:val="center"/>
          </w:tcPr>
          <w:p w14:paraId="760AFCF5" w14:textId="20BD487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69%</w:t>
            </w:r>
          </w:p>
        </w:tc>
      </w:tr>
      <w:tr w:rsidR="00A94F5A" w:rsidRPr="00BF2BB4" w14:paraId="5606CF35" w14:textId="1E97412F" w:rsidTr="00B41EB5">
        <w:trPr>
          <w:trHeight w:val="315"/>
        </w:trPr>
        <w:tc>
          <w:tcPr>
            <w:tcW w:w="3828" w:type="dxa"/>
            <w:tcBorders>
              <w:top w:val="nil"/>
              <w:left w:val="nil"/>
              <w:bottom w:val="single" w:sz="8" w:space="0" w:color="00B0F0"/>
              <w:right w:val="nil"/>
            </w:tcBorders>
            <w:noWrap/>
            <w:vAlign w:val="center"/>
            <w:hideMark/>
          </w:tcPr>
          <w:p w14:paraId="5F47311E" w14:textId="75A8F7FB"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Fundamental Indexation Global Equity</w:t>
            </w:r>
          </w:p>
        </w:tc>
        <w:tc>
          <w:tcPr>
            <w:tcW w:w="1417" w:type="dxa"/>
            <w:tcBorders>
              <w:top w:val="nil"/>
              <w:left w:val="nil"/>
              <w:bottom w:val="single" w:sz="8" w:space="0" w:color="00B0F0"/>
              <w:right w:val="nil"/>
            </w:tcBorders>
            <w:noWrap/>
            <w:vAlign w:val="center"/>
            <w:hideMark/>
          </w:tcPr>
          <w:p w14:paraId="49343A1E" w14:textId="3CDD9173"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2,818</w:t>
            </w:r>
          </w:p>
        </w:tc>
        <w:tc>
          <w:tcPr>
            <w:tcW w:w="1276" w:type="dxa"/>
            <w:tcBorders>
              <w:top w:val="nil"/>
              <w:left w:val="nil"/>
              <w:bottom w:val="single" w:sz="8" w:space="0" w:color="00B0F0"/>
              <w:right w:val="single" w:sz="8" w:space="0" w:color="FFFFFF"/>
            </w:tcBorders>
            <w:noWrap/>
            <w:vAlign w:val="center"/>
            <w:hideMark/>
          </w:tcPr>
          <w:p w14:paraId="73A67227" w14:textId="67EAF5DD"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2,801</w:t>
            </w:r>
          </w:p>
        </w:tc>
        <w:tc>
          <w:tcPr>
            <w:tcW w:w="883" w:type="dxa"/>
            <w:tcBorders>
              <w:top w:val="nil"/>
              <w:left w:val="nil"/>
              <w:bottom w:val="single" w:sz="8" w:space="0" w:color="00B0F0"/>
              <w:right w:val="nil"/>
            </w:tcBorders>
            <w:noWrap/>
            <w:vAlign w:val="center"/>
            <w:hideMark/>
          </w:tcPr>
          <w:p w14:paraId="53763987" w14:textId="3439DD2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89%</w:t>
            </w:r>
          </w:p>
        </w:tc>
        <w:tc>
          <w:tcPr>
            <w:tcW w:w="884" w:type="dxa"/>
            <w:tcBorders>
              <w:top w:val="nil"/>
              <w:left w:val="nil"/>
              <w:bottom w:val="single" w:sz="8" w:space="0" w:color="00B0F0"/>
              <w:right w:val="nil"/>
            </w:tcBorders>
            <w:noWrap/>
            <w:vAlign w:val="center"/>
            <w:hideMark/>
          </w:tcPr>
          <w:p w14:paraId="7989D784" w14:textId="7E2A7E4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10%</w:t>
            </w:r>
          </w:p>
        </w:tc>
        <w:tc>
          <w:tcPr>
            <w:tcW w:w="883" w:type="dxa"/>
            <w:tcBorders>
              <w:top w:val="nil"/>
              <w:left w:val="nil"/>
              <w:bottom w:val="single" w:sz="8" w:space="0" w:color="00B0F0"/>
              <w:right w:val="nil"/>
            </w:tcBorders>
            <w:noWrap/>
            <w:vAlign w:val="center"/>
            <w:hideMark/>
          </w:tcPr>
          <w:p w14:paraId="381DDD3D" w14:textId="45F9D0C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84" w:type="dxa"/>
            <w:tcBorders>
              <w:top w:val="nil"/>
              <w:left w:val="nil"/>
              <w:bottom w:val="single" w:sz="8" w:space="0" w:color="00B0F0"/>
              <w:right w:val="nil"/>
            </w:tcBorders>
            <w:noWrap/>
            <w:vAlign w:val="center"/>
            <w:hideMark/>
          </w:tcPr>
          <w:p w14:paraId="6CBD316B" w14:textId="07975D89"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60" w:type="dxa"/>
            <w:tcBorders>
              <w:top w:val="nil"/>
              <w:left w:val="nil"/>
              <w:bottom w:val="single" w:sz="8" w:space="0" w:color="00B0F0"/>
              <w:right w:val="single" w:sz="8" w:space="0" w:color="FFFFFF"/>
            </w:tcBorders>
            <w:noWrap/>
            <w:vAlign w:val="center"/>
            <w:hideMark/>
          </w:tcPr>
          <w:p w14:paraId="311DC1EB" w14:textId="4F445D4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5DA52B83" w14:textId="126A57ED"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91%</w:t>
            </w:r>
          </w:p>
        </w:tc>
        <w:tc>
          <w:tcPr>
            <w:tcW w:w="992" w:type="dxa"/>
            <w:tcBorders>
              <w:top w:val="nil"/>
              <w:left w:val="nil"/>
              <w:bottom w:val="single" w:sz="8" w:space="0" w:color="00B0F0"/>
              <w:right w:val="single" w:sz="8" w:space="0" w:color="FFFFFF"/>
            </w:tcBorders>
            <w:noWrap/>
            <w:vAlign w:val="center"/>
            <w:hideMark/>
          </w:tcPr>
          <w:p w14:paraId="248323F2" w14:textId="742C5DCF"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9%</w:t>
            </w:r>
          </w:p>
        </w:tc>
        <w:tc>
          <w:tcPr>
            <w:tcW w:w="1063" w:type="dxa"/>
            <w:tcBorders>
              <w:top w:val="nil"/>
              <w:left w:val="nil"/>
              <w:bottom w:val="single" w:sz="8" w:space="0" w:color="00B0F0"/>
              <w:right w:val="nil"/>
            </w:tcBorders>
            <w:vAlign w:val="center"/>
          </w:tcPr>
          <w:p w14:paraId="649A0FDA" w14:textId="53DAD388"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206</w:t>
            </w:r>
          </w:p>
        </w:tc>
        <w:tc>
          <w:tcPr>
            <w:tcW w:w="1063" w:type="dxa"/>
            <w:tcBorders>
              <w:top w:val="nil"/>
              <w:left w:val="nil"/>
              <w:bottom w:val="single" w:sz="8" w:space="0" w:color="00B0F0"/>
              <w:right w:val="nil"/>
            </w:tcBorders>
            <w:vAlign w:val="center"/>
          </w:tcPr>
          <w:p w14:paraId="2BAC7D6B" w14:textId="504513FE"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65%</w:t>
            </w:r>
          </w:p>
        </w:tc>
      </w:tr>
      <w:tr w:rsidR="00A94F5A" w:rsidRPr="00BF2BB4" w14:paraId="7F1BD4C4" w14:textId="13544771" w:rsidTr="00B41EB5">
        <w:trPr>
          <w:trHeight w:val="315"/>
        </w:trPr>
        <w:tc>
          <w:tcPr>
            <w:tcW w:w="3828" w:type="dxa"/>
            <w:tcBorders>
              <w:top w:val="nil"/>
              <w:left w:val="nil"/>
              <w:bottom w:val="single" w:sz="8" w:space="0" w:color="00B0F0"/>
              <w:right w:val="nil"/>
            </w:tcBorders>
            <w:noWrap/>
            <w:vAlign w:val="center"/>
            <w:hideMark/>
          </w:tcPr>
          <w:p w14:paraId="5E480B5B" w14:textId="67F169CC" w:rsidR="00A94F5A" w:rsidRPr="00D976E1" w:rsidRDefault="00A94F5A" w:rsidP="00A94F5A">
            <w:pPr>
              <w:spacing w:after="0"/>
              <w:rPr>
                <w:color w:val="002C77"/>
                <w:sz w:val="18"/>
                <w:szCs w:val="18"/>
                <w:lang w:eastAsia="en-GB"/>
              </w:rPr>
            </w:pPr>
            <w:r>
              <w:rPr>
                <w:rFonts w:ascii="Arial" w:hAnsi="Arial" w:cs="Arial"/>
                <w:color w:val="002C77"/>
                <w:sz w:val="18"/>
                <w:szCs w:val="18"/>
              </w:rPr>
              <w:t>Mercer Passive Sustainable Global Equity UCITS CCF</w:t>
            </w:r>
          </w:p>
        </w:tc>
        <w:tc>
          <w:tcPr>
            <w:tcW w:w="1417" w:type="dxa"/>
            <w:tcBorders>
              <w:top w:val="nil"/>
              <w:left w:val="nil"/>
              <w:bottom w:val="single" w:sz="8" w:space="0" w:color="00B0F0"/>
              <w:right w:val="nil"/>
            </w:tcBorders>
            <w:noWrap/>
            <w:vAlign w:val="center"/>
            <w:hideMark/>
          </w:tcPr>
          <w:p w14:paraId="0CE87981" w14:textId="7753EEA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16,329</w:t>
            </w:r>
          </w:p>
        </w:tc>
        <w:tc>
          <w:tcPr>
            <w:tcW w:w="1276" w:type="dxa"/>
            <w:tcBorders>
              <w:top w:val="nil"/>
              <w:left w:val="nil"/>
              <w:bottom w:val="single" w:sz="8" w:space="0" w:color="00B0F0"/>
              <w:right w:val="single" w:sz="8" w:space="0" w:color="FFFFFF"/>
            </w:tcBorders>
            <w:noWrap/>
            <w:vAlign w:val="center"/>
            <w:hideMark/>
          </w:tcPr>
          <w:p w14:paraId="4D89FC5D" w14:textId="29431787"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15,784</w:t>
            </w:r>
          </w:p>
        </w:tc>
        <w:tc>
          <w:tcPr>
            <w:tcW w:w="883" w:type="dxa"/>
            <w:tcBorders>
              <w:top w:val="nil"/>
              <w:left w:val="nil"/>
              <w:bottom w:val="single" w:sz="8" w:space="0" w:color="00B0F0"/>
              <w:right w:val="nil"/>
            </w:tcBorders>
            <w:noWrap/>
            <w:vAlign w:val="center"/>
            <w:hideMark/>
          </w:tcPr>
          <w:p w14:paraId="41A365F5" w14:textId="61ADCE32"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77%</w:t>
            </w:r>
          </w:p>
        </w:tc>
        <w:tc>
          <w:tcPr>
            <w:tcW w:w="884" w:type="dxa"/>
            <w:tcBorders>
              <w:top w:val="nil"/>
              <w:left w:val="nil"/>
              <w:bottom w:val="single" w:sz="8" w:space="0" w:color="00B0F0"/>
              <w:right w:val="nil"/>
            </w:tcBorders>
            <w:noWrap/>
            <w:vAlign w:val="center"/>
            <w:hideMark/>
          </w:tcPr>
          <w:p w14:paraId="348B509B" w14:textId="5F67D1F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20%</w:t>
            </w:r>
          </w:p>
        </w:tc>
        <w:tc>
          <w:tcPr>
            <w:tcW w:w="883" w:type="dxa"/>
            <w:tcBorders>
              <w:top w:val="nil"/>
              <w:left w:val="nil"/>
              <w:bottom w:val="single" w:sz="8" w:space="0" w:color="00B0F0"/>
              <w:right w:val="nil"/>
            </w:tcBorders>
            <w:noWrap/>
            <w:vAlign w:val="center"/>
            <w:hideMark/>
          </w:tcPr>
          <w:p w14:paraId="5FA013A9" w14:textId="7651E736"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w:t>
            </w:r>
          </w:p>
        </w:tc>
        <w:tc>
          <w:tcPr>
            <w:tcW w:w="884" w:type="dxa"/>
            <w:tcBorders>
              <w:top w:val="nil"/>
              <w:left w:val="nil"/>
              <w:bottom w:val="single" w:sz="8" w:space="0" w:color="00B0F0"/>
              <w:right w:val="nil"/>
            </w:tcBorders>
            <w:noWrap/>
            <w:vAlign w:val="center"/>
            <w:hideMark/>
          </w:tcPr>
          <w:p w14:paraId="1B1F33EE" w14:textId="7DBC32EF"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3%</w:t>
            </w:r>
          </w:p>
        </w:tc>
        <w:tc>
          <w:tcPr>
            <w:tcW w:w="860" w:type="dxa"/>
            <w:tcBorders>
              <w:top w:val="nil"/>
              <w:left w:val="nil"/>
              <w:bottom w:val="single" w:sz="8" w:space="0" w:color="00B0F0"/>
              <w:right w:val="single" w:sz="8" w:space="0" w:color="FFFFFF"/>
            </w:tcBorders>
            <w:noWrap/>
            <w:vAlign w:val="center"/>
            <w:hideMark/>
          </w:tcPr>
          <w:p w14:paraId="1717FCC4" w14:textId="69E15C75"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0%</w:t>
            </w:r>
          </w:p>
        </w:tc>
        <w:tc>
          <w:tcPr>
            <w:tcW w:w="851" w:type="dxa"/>
            <w:tcBorders>
              <w:top w:val="nil"/>
              <w:left w:val="nil"/>
              <w:bottom w:val="single" w:sz="8" w:space="0" w:color="00B0F0"/>
              <w:right w:val="nil"/>
            </w:tcBorders>
            <w:noWrap/>
            <w:vAlign w:val="center"/>
            <w:hideMark/>
          </w:tcPr>
          <w:p w14:paraId="0E48B3BD" w14:textId="04A401EA"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78%</w:t>
            </w:r>
          </w:p>
        </w:tc>
        <w:tc>
          <w:tcPr>
            <w:tcW w:w="992" w:type="dxa"/>
            <w:tcBorders>
              <w:top w:val="nil"/>
              <w:left w:val="nil"/>
              <w:bottom w:val="single" w:sz="8" w:space="0" w:color="00B0F0"/>
              <w:right w:val="single" w:sz="8" w:space="0" w:color="FFFFFF"/>
            </w:tcBorders>
            <w:noWrap/>
            <w:vAlign w:val="center"/>
            <w:hideMark/>
          </w:tcPr>
          <w:p w14:paraId="1624068C" w14:textId="5E336D21"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22%</w:t>
            </w:r>
          </w:p>
        </w:tc>
        <w:tc>
          <w:tcPr>
            <w:tcW w:w="1063" w:type="dxa"/>
            <w:tcBorders>
              <w:top w:val="nil"/>
              <w:left w:val="nil"/>
              <w:bottom w:val="single" w:sz="8" w:space="0" w:color="00B0F0"/>
              <w:right w:val="nil"/>
            </w:tcBorders>
            <w:vAlign w:val="center"/>
          </w:tcPr>
          <w:p w14:paraId="355FEC80" w14:textId="38A943B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1125</w:t>
            </w:r>
          </w:p>
        </w:tc>
        <w:tc>
          <w:tcPr>
            <w:tcW w:w="1063" w:type="dxa"/>
            <w:tcBorders>
              <w:top w:val="nil"/>
              <w:left w:val="nil"/>
              <w:bottom w:val="single" w:sz="8" w:space="0" w:color="00B0F0"/>
              <w:right w:val="nil"/>
            </w:tcBorders>
            <w:vAlign w:val="center"/>
          </w:tcPr>
          <w:p w14:paraId="23457E2A" w14:textId="3BDFEA9B" w:rsidR="00A94F5A" w:rsidRPr="00A94F5A" w:rsidRDefault="00A94F5A" w:rsidP="00A94F5A">
            <w:pPr>
              <w:spacing w:after="0"/>
              <w:jc w:val="center"/>
              <w:rPr>
                <w:rFonts w:ascii="Arial" w:hAnsi="Arial" w:cs="Arial"/>
                <w:color w:val="002C77"/>
                <w:sz w:val="18"/>
                <w:szCs w:val="18"/>
              </w:rPr>
            </w:pPr>
            <w:r w:rsidRPr="00A94F5A">
              <w:rPr>
                <w:rFonts w:ascii="Arial" w:hAnsi="Arial" w:cs="Arial"/>
                <w:color w:val="002C77"/>
                <w:sz w:val="18"/>
                <w:szCs w:val="18"/>
              </w:rPr>
              <w:t>79%</w:t>
            </w:r>
          </w:p>
        </w:tc>
      </w:tr>
      <w:tr w:rsidR="004A04A2" w:rsidRPr="00BF2BB4" w14:paraId="30B35449" w14:textId="3C05C901" w:rsidTr="00C176B8">
        <w:trPr>
          <w:trHeight w:val="1549"/>
        </w:trPr>
        <w:tc>
          <w:tcPr>
            <w:tcW w:w="14884" w:type="dxa"/>
            <w:gridSpan w:val="12"/>
            <w:tcBorders>
              <w:top w:val="single" w:sz="4" w:space="0" w:color="00B0F0"/>
              <w:left w:val="nil"/>
              <w:bottom w:val="single" w:sz="8" w:space="0" w:color="4BACC6"/>
              <w:right w:val="nil"/>
            </w:tcBorders>
            <w:noWrap/>
            <w:vAlign w:val="center"/>
          </w:tcPr>
          <w:p w14:paraId="5D019124" w14:textId="7663B74F" w:rsidR="004A04A2" w:rsidRDefault="004A04A2" w:rsidP="00F24D4B">
            <w:pPr>
              <w:pStyle w:val="ListParagraph"/>
              <w:spacing w:after="0"/>
              <w:ind w:left="0"/>
              <w:contextualSpacing w:val="0"/>
              <w:jc w:val="both"/>
              <w:rPr>
                <w:color w:val="002C77"/>
                <w:sz w:val="18"/>
                <w:szCs w:val="18"/>
                <w:lang w:eastAsia="en-GB"/>
              </w:rPr>
            </w:pPr>
            <w:r>
              <w:rPr>
                <w:color w:val="002C77"/>
                <w:sz w:val="18"/>
                <w:szCs w:val="18"/>
                <w:lang w:eastAsia="en-GB"/>
              </w:rPr>
              <w:t xml:space="preserve">These funds </w:t>
            </w:r>
            <w:r w:rsidR="00F75B39">
              <w:rPr>
                <w:color w:val="002C77"/>
                <w:sz w:val="18"/>
                <w:szCs w:val="18"/>
                <w:lang w:eastAsia="en-GB"/>
              </w:rPr>
              <w:t xml:space="preserve">shown on the above table </w:t>
            </w:r>
            <w:r>
              <w:rPr>
                <w:color w:val="002C77"/>
                <w:sz w:val="18"/>
                <w:szCs w:val="18"/>
                <w:lang w:eastAsia="en-GB"/>
              </w:rPr>
              <w:t>are underlying constituents of the Diversified Growth Fund, we do not have overall voting statistics for the fund but have included these for completeness.</w:t>
            </w:r>
          </w:p>
          <w:p w14:paraId="4DE69256" w14:textId="77777777" w:rsidR="004A04A2" w:rsidRDefault="004A04A2" w:rsidP="004A04A2">
            <w:pPr>
              <w:pStyle w:val="ListParagraph"/>
              <w:numPr>
                <w:ilvl w:val="0"/>
                <w:numId w:val="13"/>
              </w:numPr>
              <w:spacing w:after="0"/>
              <w:ind w:left="0" w:firstLine="0"/>
              <w:contextualSpacing w:val="0"/>
              <w:jc w:val="both"/>
              <w:rPr>
                <w:color w:val="002C77"/>
                <w:sz w:val="18"/>
                <w:szCs w:val="18"/>
                <w:lang w:eastAsia="en-GB"/>
              </w:rPr>
            </w:pPr>
            <w:r w:rsidRPr="00B85DCD">
              <w:rPr>
                <w:color w:val="002C77"/>
                <w:sz w:val="18"/>
                <w:szCs w:val="18"/>
                <w:lang w:eastAsia="en-GB"/>
              </w:rPr>
              <w:t>“Eligible Proposals” reflect all proposals of which managers were eligible to vote on over the period</w:t>
            </w:r>
          </w:p>
          <w:p w14:paraId="2188DA91" w14:textId="77777777" w:rsidR="004A04A2" w:rsidRDefault="004A04A2" w:rsidP="004A04A2">
            <w:pPr>
              <w:pStyle w:val="ListParagraph"/>
              <w:numPr>
                <w:ilvl w:val="0"/>
                <w:numId w:val="13"/>
              </w:numPr>
              <w:spacing w:after="0"/>
              <w:ind w:left="0" w:firstLine="0"/>
              <w:contextualSpacing w:val="0"/>
              <w:jc w:val="both"/>
              <w:rPr>
                <w:color w:val="002C77"/>
                <w:sz w:val="18"/>
                <w:szCs w:val="18"/>
                <w:lang w:eastAsia="en-GB"/>
              </w:rPr>
            </w:pPr>
            <w:r w:rsidRPr="002B5466">
              <w:rPr>
                <w:color w:val="002C77"/>
                <w:sz w:val="18"/>
                <w:szCs w:val="18"/>
                <w:lang w:eastAsia="en-GB"/>
              </w:rPr>
              <w:t>“Proposals Voted On” reflect the proposals managers have voted on over the period (including votes For and Against, and any frequency votes encompassed in the “Other” category)”</w:t>
            </w:r>
          </w:p>
          <w:p w14:paraId="1A35A0AE" w14:textId="77777777" w:rsidR="004A04A2" w:rsidRPr="00B57727" w:rsidRDefault="004A04A2" w:rsidP="004A04A2">
            <w:pPr>
              <w:pStyle w:val="ListParagraph"/>
              <w:numPr>
                <w:ilvl w:val="0"/>
                <w:numId w:val="13"/>
              </w:numPr>
              <w:spacing w:after="0"/>
              <w:ind w:left="0" w:firstLine="0"/>
              <w:contextualSpacing w:val="0"/>
              <w:jc w:val="both"/>
              <w:rPr>
                <w:color w:val="002C77"/>
                <w:sz w:val="18"/>
                <w:szCs w:val="18"/>
                <w:lang w:eastAsia="en-GB"/>
              </w:rPr>
            </w:pPr>
            <w:r>
              <w:rPr>
                <w:color w:val="002C77"/>
                <w:sz w:val="18"/>
                <w:szCs w:val="18"/>
                <w:lang w:eastAsia="en-GB"/>
              </w:rPr>
              <w:t xml:space="preserve">Vote Decision may not sum to 100 due to rounding. </w:t>
            </w:r>
            <w:r w:rsidRPr="00B57727">
              <w:rPr>
                <w:color w:val="002C77"/>
                <w:sz w:val="18"/>
                <w:szCs w:val="18"/>
                <w:lang w:eastAsia="en-GB"/>
              </w:rPr>
              <w:t>“No Action” reflects instances where managers have not actioned a vote. MGIE may follow up with managers to understand the reasoning behind these decisions, and to assess the  systems managers have in place to ensure voting rights are being used meaningfully</w:t>
            </w:r>
          </w:p>
          <w:p w14:paraId="1661E8F0" w14:textId="77777777" w:rsidR="004A04A2" w:rsidRDefault="004A04A2" w:rsidP="004A04A2">
            <w:pPr>
              <w:pStyle w:val="ListParagraph"/>
              <w:numPr>
                <w:ilvl w:val="0"/>
                <w:numId w:val="13"/>
              </w:numPr>
              <w:spacing w:after="0"/>
              <w:ind w:left="0" w:firstLine="0"/>
              <w:contextualSpacing w:val="0"/>
              <w:jc w:val="both"/>
              <w:rPr>
                <w:color w:val="002C77"/>
                <w:sz w:val="18"/>
                <w:szCs w:val="18"/>
                <w:lang w:eastAsia="en-GB"/>
              </w:rPr>
            </w:pPr>
            <w:r w:rsidRPr="002B5466">
              <w:rPr>
                <w:color w:val="002C77"/>
                <w:sz w:val="18"/>
                <w:szCs w:val="18"/>
                <w:lang w:eastAsia="en-GB"/>
              </w:rPr>
              <w:t>“Other” refers to proposals in which the decision is frequency related (e.g. 1 year or 3 year votes regarding the frequency of future say-on-pay).</w:t>
            </w:r>
          </w:p>
          <w:p w14:paraId="4531FBBB" w14:textId="516BC719" w:rsidR="004A04A2" w:rsidRPr="00A50427" w:rsidRDefault="004A04A2" w:rsidP="004A04A2">
            <w:pPr>
              <w:pStyle w:val="ListParagraph"/>
              <w:numPr>
                <w:ilvl w:val="0"/>
                <w:numId w:val="13"/>
              </w:numPr>
              <w:spacing w:after="0"/>
              <w:ind w:left="0" w:firstLine="0"/>
              <w:contextualSpacing w:val="0"/>
              <w:jc w:val="both"/>
              <w:rPr>
                <w:color w:val="002C77"/>
                <w:sz w:val="18"/>
                <w:szCs w:val="18"/>
                <w:lang w:eastAsia="en-GB"/>
              </w:rPr>
            </w:pPr>
            <w:r w:rsidRPr="00A50427">
              <w:rPr>
                <w:color w:val="002C77"/>
                <w:sz w:val="18"/>
                <w:szCs w:val="18"/>
                <w:lang w:eastAsia="en-GB"/>
              </w:rPr>
              <w:t xml:space="preserve">“Meetings No.” refers to the number of meetings the managers were eligible to vote at. </w:t>
            </w:r>
          </w:p>
          <w:p w14:paraId="44FD0A99" w14:textId="6339388E" w:rsidR="004A04A2" w:rsidRDefault="004A04A2" w:rsidP="00F24D4B">
            <w:pPr>
              <w:pStyle w:val="ListParagraph"/>
              <w:numPr>
                <w:ilvl w:val="0"/>
                <w:numId w:val="13"/>
              </w:numPr>
              <w:spacing w:after="0"/>
              <w:ind w:left="0" w:firstLine="0"/>
              <w:contextualSpacing w:val="0"/>
              <w:jc w:val="both"/>
              <w:rPr>
                <w:color w:val="002C77"/>
                <w:sz w:val="18"/>
                <w:szCs w:val="18"/>
                <w:lang w:eastAsia="en-GB"/>
              </w:rPr>
            </w:pPr>
            <w:r w:rsidRPr="002B5466">
              <w:rPr>
                <w:color w:val="002C77"/>
                <w:sz w:val="18"/>
                <w:szCs w:val="18"/>
                <w:lang w:eastAsia="en-GB"/>
              </w:rPr>
              <w:t>“</w:t>
            </w:r>
            <w:r>
              <w:rPr>
                <w:color w:val="002C77"/>
                <w:sz w:val="18"/>
                <w:szCs w:val="18"/>
                <w:lang w:eastAsia="en-GB"/>
              </w:rPr>
              <w:t xml:space="preserve">Meetings </w:t>
            </w:r>
            <w:r w:rsidRPr="002B5466">
              <w:rPr>
                <w:color w:val="002C77"/>
                <w:sz w:val="18"/>
                <w:szCs w:val="18"/>
                <w:lang w:eastAsia="en-GB"/>
              </w:rPr>
              <w:t>Again</w:t>
            </w:r>
            <w:r>
              <w:rPr>
                <w:color w:val="002C77"/>
                <w:sz w:val="18"/>
                <w:szCs w:val="18"/>
                <w:lang w:eastAsia="en-GB"/>
              </w:rPr>
              <w:t>st</w:t>
            </w:r>
            <w:r w:rsidRPr="002B5466">
              <w:rPr>
                <w:color w:val="002C77"/>
                <w:sz w:val="18"/>
                <w:szCs w:val="18"/>
                <w:lang w:eastAsia="en-GB"/>
              </w:rPr>
              <w:t>”</w:t>
            </w:r>
            <w:r>
              <w:rPr>
                <w:color w:val="002C77"/>
                <w:sz w:val="18"/>
                <w:szCs w:val="18"/>
                <w:lang w:eastAsia="en-GB"/>
              </w:rPr>
              <w:t xml:space="preserve"> refers to the no. of meetings</w:t>
            </w:r>
            <w:r w:rsidRPr="002B5466">
              <w:rPr>
                <w:color w:val="002C77"/>
                <w:sz w:val="18"/>
                <w:szCs w:val="18"/>
                <w:lang w:eastAsia="en-GB"/>
              </w:rPr>
              <w:t xml:space="preserve"> </w:t>
            </w:r>
            <w:r>
              <w:rPr>
                <w:color w:val="002C77"/>
                <w:sz w:val="18"/>
                <w:szCs w:val="18"/>
                <w:lang w:eastAsia="en-GB"/>
              </w:rPr>
              <w:t xml:space="preserve">where the managers voted </w:t>
            </w:r>
            <w:r w:rsidRPr="002B5466">
              <w:rPr>
                <w:color w:val="002C77"/>
                <w:sz w:val="18"/>
                <w:szCs w:val="18"/>
                <w:lang w:eastAsia="en-GB"/>
              </w:rPr>
              <w:t>at least once against management</w:t>
            </w:r>
            <w:r>
              <w:rPr>
                <w:color w:val="002C77"/>
                <w:sz w:val="18"/>
                <w:szCs w:val="18"/>
                <w:lang w:eastAsia="en-GB"/>
              </w:rPr>
              <w:t>, reported as a % of the total eligible meetings</w:t>
            </w:r>
            <w:r w:rsidRPr="00BF2BB4">
              <w:rPr>
                <w:color w:val="002C77"/>
                <w:sz w:val="18"/>
                <w:szCs w:val="18"/>
                <w:lang w:eastAsia="en-GB"/>
              </w:rPr>
              <w:t>.</w:t>
            </w:r>
          </w:p>
        </w:tc>
      </w:tr>
    </w:tbl>
    <w:p w14:paraId="6AB53E06" w14:textId="77777777" w:rsidR="00EA6312" w:rsidRPr="00BF2BB4" w:rsidRDefault="00EA6312" w:rsidP="00EA6312">
      <w:pPr>
        <w:jc w:val="both"/>
        <w:rPr>
          <w:b/>
          <w:color w:val="003865" w:themeColor="text1"/>
          <w:sz w:val="12"/>
          <w:szCs w:val="12"/>
          <w:lang w:eastAsia="en-GB"/>
        </w:rPr>
      </w:pPr>
    </w:p>
    <w:p w14:paraId="73CEC55A" w14:textId="2B036E65" w:rsidR="002612C1" w:rsidRDefault="00EA6312" w:rsidP="004E1589">
      <w:pPr>
        <w:jc w:val="both"/>
        <w:rPr>
          <w:color w:val="003865" w:themeColor="text1"/>
          <w:szCs w:val="22"/>
          <w:lang w:eastAsia="en-GB"/>
        </w:rPr>
      </w:pPr>
      <w:r w:rsidRPr="00BF2BB4">
        <w:rPr>
          <w:b/>
          <w:color w:val="003865" w:themeColor="text1"/>
          <w:szCs w:val="22"/>
          <w:lang w:eastAsia="en-GB"/>
        </w:rPr>
        <w:t>Significant Votes:</w:t>
      </w:r>
      <w:r w:rsidRPr="00BF2BB4">
        <w:rPr>
          <w:color w:val="003865" w:themeColor="text1"/>
          <w:szCs w:val="22"/>
          <w:lang w:eastAsia="en-GB"/>
        </w:rPr>
        <w:t xml:space="preserve"> </w:t>
      </w:r>
      <w:r w:rsidR="00F75B39" w:rsidRPr="00F75B39">
        <w:rPr>
          <w:color w:val="003865" w:themeColor="text1"/>
          <w:szCs w:val="22"/>
          <w:lang w:eastAsia="en-GB"/>
        </w:rPr>
        <w:t>The Trustee has based the definition of significant votes in line with the requirements of the Shareholder Rights Directive (SRD) II and on Mercer’s engagement priority themes</w:t>
      </w:r>
      <w:r w:rsidR="006631D8">
        <w:rPr>
          <w:color w:val="003865" w:themeColor="text1"/>
          <w:szCs w:val="22"/>
          <w:lang w:eastAsia="en-GB"/>
        </w:rPr>
        <w:t xml:space="preserve">. </w:t>
      </w:r>
      <w:r w:rsidR="00F75B39" w:rsidRPr="00F75B39">
        <w:rPr>
          <w:color w:val="003865" w:themeColor="text1"/>
          <w:szCs w:val="22"/>
          <w:lang w:eastAsia="en-GB"/>
        </w:rPr>
        <w:t xml:space="preserve"> The most significant proposals reported below relate to the three companies with the largest weight in each fund (relative to other companies in the full list of significant proposals), while considering Mercer’s engagement priority themes</w:t>
      </w:r>
      <w:r w:rsidR="00F75B39">
        <w:rPr>
          <w:color w:val="003865" w:themeColor="text1"/>
          <w:szCs w:val="22"/>
          <w:lang w:eastAsia="en-GB"/>
        </w:rPr>
        <w:t>.</w:t>
      </w:r>
      <w:r w:rsidR="002612C1">
        <w:rPr>
          <w:color w:val="003865" w:themeColor="text1"/>
          <w:szCs w:val="22"/>
          <w:lang w:eastAsia="en-GB"/>
        </w:rPr>
        <w:t>:</w:t>
      </w:r>
    </w:p>
    <w:p w14:paraId="2568E55E" w14:textId="1DC38D77" w:rsidR="00EA6312" w:rsidRDefault="004E1589" w:rsidP="004E1589">
      <w:pPr>
        <w:jc w:val="both"/>
        <w:rPr>
          <w:color w:val="003865" w:themeColor="text1"/>
          <w:szCs w:val="22"/>
          <w:lang w:eastAsia="en-GB"/>
        </w:rPr>
      </w:pPr>
      <w:r w:rsidRPr="004E1589">
        <w:rPr>
          <w:color w:val="003865" w:themeColor="text1"/>
          <w:szCs w:val="22"/>
          <w:lang w:eastAsia="en-GB"/>
        </w:rPr>
        <w:t xml:space="preserve">Where available, information on next steps and plans to escalate are included in the table </w:t>
      </w:r>
      <w:r w:rsidR="0004065B">
        <w:rPr>
          <w:color w:val="003865" w:themeColor="text1"/>
          <w:szCs w:val="22"/>
          <w:lang w:eastAsia="en-GB"/>
        </w:rPr>
        <w:t>overleaf</w:t>
      </w:r>
      <w:r w:rsidR="00EA6312" w:rsidRPr="00BF2BB4">
        <w:rPr>
          <w:color w:val="003865" w:themeColor="text1"/>
          <w:szCs w:val="22"/>
          <w:lang w:eastAsia="en-GB"/>
        </w:rPr>
        <w:t>.</w:t>
      </w:r>
    </w:p>
    <w:p w14:paraId="1D52CD90" w14:textId="77777777" w:rsidR="00EA6312" w:rsidRDefault="00EA6312" w:rsidP="00EA6312">
      <w:pPr>
        <w:pStyle w:val="Heading1"/>
        <w:rPr>
          <w:sz w:val="22"/>
          <w:lang w:eastAsia="en-GB"/>
        </w:rPr>
      </w:pPr>
      <w:r w:rsidRPr="00DA1EFD">
        <w:rPr>
          <w:sz w:val="22"/>
          <w:lang w:eastAsia="en-GB"/>
        </w:rPr>
        <w:t xml:space="preserve">Most Significant Votes </w:t>
      </w:r>
    </w:p>
    <w:tbl>
      <w:tblPr>
        <w:tblW w:w="14884" w:type="dxa"/>
        <w:tblInd w:w="-10" w:type="dxa"/>
        <w:tblLook w:val="04A0" w:firstRow="1" w:lastRow="0" w:firstColumn="1" w:lastColumn="0" w:noHBand="0" w:noVBand="1"/>
      </w:tblPr>
      <w:tblGrid>
        <w:gridCol w:w="1387"/>
        <w:gridCol w:w="1778"/>
        <w:gridCol w:w="2524"/>
        <w:gridCol w:w="5013"/>
        <w:gridCol w:w="4182"/>
      </w:tblGrid>
      <w:tr w:rsidR="007B4BA9" w14:paraId="47D22F02" w14:textId="77777777" w:rsidTr="00F02189">
        <w:trPr>
          <w:trHeight w:val="718"/>
        </w:trPr>
        <w:tc>
          <w:tcPr>
            <w:tcW w:w="1387" w:type="dxa"/>
            <w:tcBorders>
              <w:top w:val="single" w:sz="4" w:space="0" w:color="FFFFFF" w:themeColor="background1"/>
              <w:left w:val="single" w:sz="8" w:space="0" w:color="BFBFBF"/>
              <w:bottom w:val="single" w:sz="4" w:space="0" w:color="FFFFFF"/>
              <w:right w:val="single" w:sz="4" w:space="0" w:color="FFFFFF" w:themeColor="background1"/>
            </w:tcBorders>
            <w:shd w:val="clear" w:color="auto" w:fill="00B0F0"/>
            <w:vAlign w:val="center"/>
          </w:tcPr>
          <w:p w14:paraId="1D985555"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Fund</w:t>
            </w:r>
          </w:p>
        </w:tc>
        <w:tc>
          <w:tcPr>
            <w:tcW w:w="1778"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0B0F0"/>
            <w:vAlign w:val="center"/>
          </w:tcPr>
          <w:p w14:paraId="780E54A6"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524"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0B0F0"/>
            <w:vAlign w:val="center"/>
          </w:tcPr>
          <w:p w14:paraId="58D25C0A"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 xml:space="preserve">Meeting Date -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5013"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00B0F0"/>
            <w:vAlign w:val="center"/>
          </w:tcPr>
          <w:p w14:paraId="1921CFAA"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(Communication of vote against management - Rationale if available)</w:t>
            </w:r>
          </w:p>
        </w:tc>
        <w:tc>
          <w:tcPr>
            <w:tcW w:w="4182" w:type="dxa"/>
            <w:tcBorders>
              <w:top w:val="single" w:sz="4" w:space="0" w:color="FFFFFF" w:themeColor="background1"/>
              <w:left w:val="single" w:sz="4" w:space="0" w:color="FFFFFF" w:themeColor="background1"/>
              <w:bottom w:val="single" w:sz="4" w:space="0" w:color="FFFFFF"/>
              <w:right w:val="single" w:sz="8" w:space="0" w:color="BFBFBF"/>
            </w:tcBorders>
            <w:shd w:val="clear" w:color="auto" w:fill="00B0F0"/>
            <w:vAlign w:val="center"/>
          </w:tcPr>
          <w:p w14:paraId="4128730A"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if available)</w:t>
            </w:r>
          </w:p>
        </w:tc>
      </w:tr>
      <w:tr w:rsidR="00DA79BC" w14:paraId="7A512206" w14:textId="77777777" w:rsidTr="00F02189">
        <w:trPr>
          <w:trHeight w:val="1530"/>
        </w:trPr>
        <w:tc>
          <w:tcPr>
            <w:tcW w:w="1387" w:type="dxa"/>
            <w:vMerge w:val="restart"/>
            <w:tcBorders>
              <w:top w:val="single" w:sz="4" w:space="0" w:color="FFFFFF"/>
              <w:left w:val="single" w:sz="8" w:space="0" w:color="BFBFBF"/>
              <w:right w:val="nil"/>
            </w:tcBorders>
            <w:shd w:val="clear" w:color="auto" w:fill="F2F2F2" w:themeFill="background1" w:themeFillShade="F2"/>
            <w:vAlign w:val="center"/>
            <w:hideMark/>
          </w:tcPr>
          <w:p w14:paraId="65623A8A" w14:textId="77777777" w:rsidR="00DA79BC" w:rsidRDefault="00DA79BC" w:rsidP="00A400FD">
            <w:pPr>
              <w:rPr>
                <w:rFonts w:ascii="Arial" w:hAnsi="Arial" w:cs="Arial"/>
                <w:b/>
                <w:bCs/>
                <w:color w:val="002C77"/>
                <w:sz w:val="18"/>
                <w:szCs w:val="18"/>
              </w:rPr>
            </w:pPr>
            <w:r>
              <w:rPr>
                <w:rFonts w:ascii="Arial" w:hAnsi="Arial" w:cs="Arial"/>
                <w:b/>
                <w:bCs/>
                <w:color w:val="002C77"/>
                <w:sz w:val="18"/>
                <w:szCs w:val="18"/>
              </w:rPr>
              <w:t>Mercer Passive Fundamental Indexation Global Equity</w:t>
            </w:r>
          </w:p>
        </w:tc>
        <w:tc>
          <w:tcPr>
            <w:tcW w:w="1778" w:type="dxa"/>
            <w:tcBorders>
              <w:top w:val="single" w:sz="4" w:space="0" w:color="FFFFFF"/>
              <w:left w:val="nil"/>
              <w:right w:val="single" w:sz="4" w:space="0" w:color="BFBFBF" w:themeColor="background1" w:themeShade="BF"/>
            </w:tcBorders>
            <w:vAlign w:val="center"/>
            <w:hideMark/>
          </w:tcPr>
          <w:p w14:paraId="046C9FAC" w14:textId="60A8C2EA" w:rsidR="00DA79BC" w:rsidRDefault="00DA79BC" w:rsidP="00A400FD">
            <w:pPr>
              <w:rPr>
                <w:rFonts w:ascii="Arial" w:hAnsi="Arial" w:cs="Arial"/>
                <w:color w:val="002C77"/>
                <w:sz w:val="18"/>
                <w:szCs w:val="18"/>
              </w:rPr>
            </w:pPr>
            <w:r w:rsidRPr="00B92BEA">
              <w:rPr>
                <w:rFonts w:ascii="Arial" w:hAnsi="Arial" w:cs="Arial"/>
                <w:b/>
                <w:color w:val="002C77"/>
                <w:sz w:val="18"/>
                <w:szCs w:val="18"/>
              </w:rPr>
              <w:t>Apple Inc</w:t>
            </w:r>
            <w:r>
              <w:rPr>
                <w:rFonts w:ascii="Arial" w:hAnsi="Arial" w:cs="Arial"/>
                <w:color w:val="002C77"/>
                <w:sz w:val="18"/>
                <w:szCs w:val="18"/>
              </w:rPr>
              <w:t xml:space="preserve"> </w:t>
            </w:r>
            <w:r>
              <w:rPr>
                <w:rFonts w:ascii="Arial" w:hAnsi="Arial" w:cs="Arial"/>
                <w:color w:val="002C77"/>
                <w:sz w:val="18"/>
                <w:szCs w:val="18"/>
              </w:rPr>
              <w:br/>
            </w:r>
            <w:r>
              <w:rPr>
                <w:rFonts w:ascii="Arial" w:hAnsi="Arial" w:cs="Arial"/>
                <w:i/>
                <w:color w:val="002C77"/>
                <w:sz w:val="18"/>
                <w:szCs w:val="18"/>
              </w:rPr>
              <w:t>(7.1</w:t>
            </w:r>
            <w:r w:rsidRPr="00B92BEA">
              <w:rPr>
                <w:rFonts w:ascii="Arial" w:hAnsi="Arial" w:cs="Arial"/>
                <w:i/>
                <w:color w:val="002C77"/>
                <w:sz w:val="18"/>
                <w:szCs w:val="18"/>
              </w:rPr>
              <w:t>%)</w:t>
            </w:r>
          </w:p>
        </w:tc>
        <w:tc>
          <w:tcPr>
            <w:tcW w:w="2524" w:type="dxa"/>
            <w:tcBorders>
              <w:top w:val="single" w:sz="4" w:space="0" w:color="FFFFF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362D4D" w14:textId="3E8C61CD" w:rsidR="00DA79BC" w:rsidRDefault="00DA79BC" w:rsidP="00F24D4B">
            <w:pPr>
              <w:spacing w:after="120"/>
              <w:rPr>
                <w:rFonts w:ascii="Arial" w:hAnsi="Arial" w:cs="Arial"/>
                <w:color w:val="002C77"/>
                <w:sz w:val="18"/>
                <w:szCs w:val="18"/>
              </w:rPr>
            </w:pPr>
            <w:r w:rsidRPr="00247B2F">
              <w:rPr>
                <w:rFonts w:ascii="Arial" w:hAnsi="Arial" w:cs="Arial"/>
                <w:color w:val="002C77"/>
                <w:sz w:val="18"/>
                <w:szCs w:val="18"/>
              </w:rPr>
              <w:t>25/2/2025</w:t>
            </w:r>
            <w:r>
              <w:rPr>
                <w:rFonts w:ascii="Arial" w:hAnsi="Arial" w:cs="Arial"/>
                <w:color w:val="002C77"/>
                <w:sz w:val="18"/>
                <w:szCs w:val="18"/>
              </w:rPr>
              <w:t xml:space="preserve">: </w:t>
            </w:r>
            <w:r w:rsidRPr="0072670F">
              <w:rPr>
                <w:rFonts w:ascii="Arial" w:hAnsi="Arial" w:cs="Arial"/>
                <w:b/>
                <w:bCs/>
                <w:color w:val="002C77"/>
                <w:sz w:val="18"/>
                <w:szCs w:val="18"/>
              </w:rPr>
              <w:t>Shareholder Proposal Regarding Congruency Report on Privacy and Human Rights Policies</w:t>
            </w:r>
            <w:r>
              <w:rPr>
                <w:rFonts w:ascii="Arial" w:hAnsi="Arial" w:cs="Arial"/>
                <w:color w:val="002C77"/>
                <w:sz w:val="18"/>
                <w:szCs w:val="18"/>
              </w:rPr>
              <w:br/>
            </w:r>
            <w:r>
              <w:rPr>
                <w:rFonts w:ascii="Arial" w:hAnsi="Arial" w:cs="Arial"/>
                <w:i/>
                <w:iCs/>
                <w:color w:val="002C77"/>
                <w:sz w:val="18"/>
                <w:szCs w:val="18"/>
              </w:rPr>
              <w:t>(Social)</w:t>
            </w:r>
          </w:p>
        </w:tc>
        <w:tc>
          <w:tcPr>
            <w:tcW w:w="5013" w:type="dxa"/>
            <w:tcBorders>
              <w:top w:val="single" w:sz="4" w:space="0" w:color="FFFFF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0F8C1D" w14:textId="77777777" w:rsidR="00DA79BC" w:rsidRPr="00247B2F" w:rsidRDefault="00DA79BC" w:rsidP="00247B2F">
            <w:pPr>
              <w:spacing w:after="120"/>
              <w:rPr>
                <w:rFonts w:ascii="Arial" w:hAnsi="Arial" w:cs="Arial"/>
                <w:i/>
                <w:color w:val="002C77"/>
                <w:sz w:val="18"/>
                <w:szCs w:val="18"/>
              </w:rPr>
            </w:pPr>
            <w:r>
              <w:rPr>
                <w:rFonts w:ascii="Arial" w:hAnsi="Arial" w:cs="Arial"/>
                <w:b/>
                <w:bCs/>
                <w:color w:val="002C77"/>
                <w:sz w:val="18"/>
                <w:szCs w:val="18"/>
              </w:rPr>
              <w:t>Against</w:t>
            </w:r>
            <w:r>
              <w:rPr>
                <w:rFonts w:ascii="Arial" w:hAnsi="Arial" w:cs="Arial"/>
                <w:b/>
                <w:bCs/>
                <w:color w:val="002C77"/>
                <w:sz w:val="18"/>
                <w:szCs w:val="18"/>
              </w:rPr>
              <w:br/>
            </w:r>
            <w:r w:rsidRPr="00B92BEA">
              <w:rPr>
                <w:rFonts w:ascii="Arial" w:hAnsi="Arial" w:cs="Arial"/>
                <w:i/>
                <w:color w:val="002C77"/>
                <w:sz w:val="18"/>
                <w:szCs w:val="18"/>
              </w:rPr>
              <w:t>(</w:t>
            </w:r>
            <w:r w:rsidRPr="00247B2F">
              <w:rPr>
                <w:rFonts w:ascii="Arial" w:hAnsi="Arial" w:cs="Arial"/>
                <w:i/>
                <w:color w:val="002C77"/>
                <w:sz w:val="18"/>
                <w:szCs w:val="18"/>
              </w:rPr>
              <w:t>No - Apple provides several disclosures that relate to diversity and inclusion, and these disclosures appear to provide sufficient information for shareholders to evaluate the programs and policies in question.</w:t>
            </w:r>
          </w:p>
          <w:p w14:paraId="5E7F157E" w14:textId="77777777" w:rsidR="00DA79BC" w:rsidRPr="00247B2F" w:rsidRDefault="00DA79BC" w:rsidP="00247B2F">
            <w:pPr>
              <w:spacing w:after="120"/>
              <w:rPr>
                <w:rFonts w:ascii="Arial" w:hAnsi="Arial" w:cs="Arial"/>
                <w:i/>
                <w:color w:val="002C77"/>
                <w:sz w:val="18"/>
                <w:szCs w:val="18"/>
              </w:rPr>
            </w:pPr>
            <w:r w:rsidRPr="00247B2F">
              <w:rPr>
                <w:rFonts w:ascii="Arial" w:hAnsi="Arial" w:cs="Arial"/>
                <w:i/>
                <w:color w:val="002C77"/>
                <w:sz w:val="18"/>
                <w:szCs w:val="18"/>
              </w:rPr>
              <w:t>Apple provides its non-discrimination policies and clearly discusses its oversight of the associated risks, and this level of oversight is aligned with standard market practice.</w:t>
            </w:r>
          </w:p>
          <w:p w14:paraId="4C685E43" w14:textId="77777777" w:rsidR="00DA79BC" w:rsidRPr="00247B2F" w:rsidRDefault="00DA79BC" w:rsidP="00247B2F">
            <w:pPr>
              <w:spacing w:after="120"/>
              <w:rPr>
                <w:rFonts w:ascii="Arial" w:hAnsi="Arial" w:cs="Arial"/>
                <w:i/>
                <w:color w:val="002C77"/>
                <w:sz w:val="18"/>
                <w:szCs w:val="18"/>
              </w:rPr>
            </w:pPr>
            <w:r w:rsidRPr="00247B2F">
              <w:rPr>
                <w:rFonts w:ascii="Arial" w:hAnsi="Arial" w:cs="Arial"/>
                <w:i/>
                <w:color w:val="002C77"/>
                <w:sz w:val="18"/>
                <w:szCs w:val="18"/>
              </w:rPr>
              <w:t>The proposal is overly prescriptive as it asks Apple to discontinue its current DEI policies, rather than just reporting on potential risks related to having such policies in place. In addition, there do not appear to be any controversies related to employees or employee groups at Apple being discriminated against due to the company's employee diversity initiatives.</w:t>
            </w:r>
          </w:p>
          <w:p w14:paraId="7774B611" w14:textId="5AF501DC" w:rsidR="00DA79BC" w:rsidRDefault="00DA79BC" w:rsidP="00247B2F">
            <w:pPr>
              <w:spacing w:after="120"/>
              <w:rPr>
                <w:rFonts w:ascii="Arial" w:hAnsi="Arial" w:cs="Arial"/>
                <w:b/>
                <w:bCs/>
                <w:color w:val="002C77"/>
                <w:sz w:val="18"/>
                <w:szCs w:val="18"/>
              </w:rPr>
            </w:pPr>
            <w:r w:rsidRPr="00247B2F">
              <w:rPr>
                <w:rFonts w:ascii="Arial" w:hAnsi="Arial" w:cs="Arial"/>
                <w:i/>
                <w:color w:val="002C77"/>
                <w:sz w:val="18"/>
                <w:szCs w:val="18"/>
              </w:rPr>
              <w:t>Although the topic of DEI has become contentious and widely reported, the company's current oversight and its level of disclosure do not raise concerns at this time. Therefore, support for this proposal is not warranted.)</w:t>
            </w:r>
          </w:p>
        </w:tc>
        <w:tc>
          <w:tcPr>
            <w:tcW w:w="4182" w:type="dxa"/>
            <w:tcBorders>
              <w:top w:val="single" w:sz="4" w:space="0" w:color="FFFFFF"/>
              <w:left w:val="single" w:sz="4" w:space="0" w:color="BFBFBF" w:themeColor="background1" w:themeShade="BF"/>
              <w:bottom w:val="single" w:sz="4" w:space="0" w:color="BFBFBF" w:themeColor="background1" w:themeShade="BF"/>
              <w:right w:val="single" w:sz="8" w:space="0" w:color="BFBFBF"/>
            </w:tcBorders>
            <w:vAlign w:val="center"/>
            <w:hideMark/>
          </w:tcPr>
          <w:p w14:paraId="5C50277F" w14:textId="77777777" w:rsidR="0035147A" w:rsidRDefault="00DA79BC" w:rsidP="00247B2F">
            <w:pPr>
              <w:spacing w:after="120"/>
              <w:rPr>
                <w:rFonts w:ascii="Arial" w:hAnsi="Arial" w:cs="Arial"/>
                <w:color w:val="002C77"/>
                <w:sz w:val="18"/>
                <w:szCs w:val="18"/>
              </w:rPr>
            </w:pPr>
            <w:r w:rsidRPr="00247B2F">
              <w:rPr>
                <w:rFonts w:ascii="Arial" w:hAnsi="Arial" w:cs="Arial"/>
                <w:b/>
                <w:color w:val="002C77"/>
                <w:sz w:val="18"/>
                <w:szCs w:val="18"/>
              </w:rPr>
              <w:t>2.3% Support</w:t>
            </w:r>
            <w:r>
              <w:rPr>
                <w:rFonts w:ascii="Arial" w:hAnsi="Arial" w:cs="Arial"/>
                <w:color w:val="002C77"/>
                <w:sz w:val="18"/>
                <w:szCs w:val="18"/>
              </w:rPr>
              <w:br/>
            </w:r>
            <w:r w:rsidRPr="00247B2F">
              <w:rPr>
                <w:rFonts w:ascii="Arial" w:hAnsi="Arial" w:cs="Arial"/>
                <w:color w:val="002C77"/>
                <w:sz w:val="18"/>
                <w:szCs w:val="18"/>
              </w:rPr>
              <w:t xml:space="preserve">Proposal did not pass. </w:t>
            </w:r>
          </w:p>
          <w:p w14:paraId="537994DF" w14:textId="16628334" w:rsidR="00DA79BC" w:rsidRDefault="00DA79BC" w:rsidP="00247B2F">
            <w:pPr>
              <w:spacing w:after="120"/>
              <w:rPr>
                <w:rFonts w:ascii="Arial" w:hAnsi="Arial" w:cs="Arial"/>
                <w:color w:val="002C77"/>
                <w:sz w:val="18"/>
                <w:szCs w:val="18"/>
              </w:rPr>
            </w:pPr>
            <w:r>
              <w:rPr>
                <w:rFonts w:ascii="Arial" w:hAnsi="Arial" w:cs="Arial"/>
                <w:color w:val="002C77"/>
                <w:sz w:val="18"/>
                <w:szCs w:val="18"/>
              </w:rPr>
              <w:br/>
            </w:r>
            <w:r w:rsidRPr="00247B2F">
              <w:rPr>
                <w:rFonts w:ascii="Arial" w:hAnsi="Arial" w:cs="Arial"/>
                <w:color w:val="002C77"/>
                <w:sz w:val="18"/>
                <w:szCs w:val="18"/>
              </w:rPr>
              <w:t>(Manager will continue to engage with the company. Given the current climate around DEI in the US, he shall monitor further developments by the company.)</w:t>
            </w:r>
          </w:p>
        </w:tc>
      </w:tr>
      <w:tr w:rsidR="00DA79BC" w14:paraId="56A2B4BB" w14:textId="77777777" w:rsidTr="00F2442E">
        <w:trPr>
          <w:trHeight w:val="926"/>
        </w:trPr>
        <w:tc>
          <w:tcPr>
            <w:tcW w:w="1387" w:type="dxa"/>
            <w:vMerge/>
            <w:tcBorders>
              <w:left w:val="single" w:sz="8" w:space="0" w:color="BFBFBF"/>
              <w:right w:val="nil"/>
            </w:tcBorders>
            <w:shd w:val="clear" w:color="auto" w:fill="F2F2F2" w:themeFill="background1" w:themeFillShade="F2"/>
            <w:vAlign w:val="center"/>
            <w:hideMark/>
          </w:tcPr>
          <w:p w14:paraId="11C5BBB8" w14:textId="77777777" w:rsidR="00DA79BC" w:rsidRDefault="00DA79BC" w:rsidP="00A400FD">
            <w:pPr>
              <w:rPr>
                <w:rFonts w:ascii="Arial" w:hAnsi="Arial" w:cs="Arial"/>
                <w:b/>
                <w:bCs/>
                <w:color w:val="002C77"/>
                <w:sz w:val="18"/>
                <w:szCs w:val="18"/>
              </w:rPr>
            </w:pPr>
          </w:p>
        </w:tc>
        <w:tc>
          <w:tcPr>
            <w:tcW w:w="1778" w:type="dxa"/>
            <w:vMerge w:val="restart"/>
            <w:tcBorders>
              <w:top w:val="single" w:sz="4" w:space="0" w:color="BFBFBF" w:themeColor="background1" w:themeShade="BF"/>
              <w:left w:val="nil"/>
              <w:right w:val="single" w:sz="4" w:space="0" w:color="BFBFBF" w:themeColor="background1" w:themeShade="BF"/>
            </w:tcBorders>
            <w:vAlign w:val="center"/>
            <w:hideMark/>
          </w:tcPr>
          <w:p w14:paraId="69BF40B5" w14:textId="49021E81" w:rsidR="00DA79BC" w:rsidRDefault="00DA79BC" w:rsidP="00A400FD">
            <w:pPr>
              <w:rPr>
                <w:rFonts w:ascii="Arial" w:hAnsi="Arial" w:cs="Arial"/>
                <w:color w:val="002C77"/>
                <w:sz w:val="18"/>
                <w:szCs w:val="18"/>
              </w:rPr>
            </w:pPr>
            <w:r w:rsidRPr="00247B2F">
              <w:rPr>
                <w:rFonts w:ascii="Arial" w:hAnsi="Arial" w:cs="Arial"/>
                <w:b/>
                <w:color w:val="002C77"/>
                <w:sz w:val="18"/>
                <w:szCs w:val="18"/>
              </w:rPr>
              <w:t>Meta Platforms Inc</w:t>
            </w:r>
            <w:r>
              <w:rPr>
                <w:rFonts w:ascii="Arial" w:hAnsi="Arial" w:cs="Arial"/>
                <w:color w:val="002C77"/>
                <w:sz w:val="18"/>
                <w:szCs w:val="18"/>
              </w:rPr>
              <w:br/>
            </w:r>
            <w:r w:rsidRPr="00B92BEA">
              <w:rPr>
                <w:rFonts w:ascii="Arial" w:hAnsi="Arial" w:cs="Arial"/>
                <w:i/>
                <w:color w:val="002C77"/>
                <w:sz w:val="18"/>
                <w:szCs w:val="18"/>
              </w:rPr>
              <w:t>(</w:t>
            </w:r>
            <w:r>
              <w:rPr>
                <w:rFonts w:ascii="Arial" w:hAnsi="Arial" w:cs="Arial"/>
                <w:i/>
                <w:color w:val="002C77"/>
                <w:sz w:val="18"/>
                <w:szCs w:val="18"/>
              </w:rPr>
              <w:t>3</w:t>
            </w:r>
            <w:r w:rsidRPr="00B92BEA">
              <w:rPr>
                <w:rFonts w:ascii="Arial" w:hAnsi="Arial" w:cs="Arial"/>
                <w:i/>
                <w:color w:val="002C77"/>
                <w:sz w:val="18"/>
                <w:szCs w:val="18"/>
              </w:rPr>
              <w:t>.</w:t>
            </w:r>
            <w:r>
              <w:rPr>
                <w:rFonts w:ascii="Arial" w:hAnsi="Arial" w:cs="Arial"/>
                <w:i/>
                <w:color w:val="002C77"/>
                <w:sz w:val="18"/>
                <w:szCs w:val="18"/>
              </w:rPr>
              <w:t>6</w:t>
            </w:r>
            <w:r w:rsidRPr="00B92BEA">
              <w:rPr>
                <w:rFonts w:ascii="Arial" w:hAnsi="Arial" w:cs="Arial"/>
                <w:i/>
                <w:color w:val="002C77"/>
                <w:sz w:val="18"/>
                <w:szCs w:val="18"/>
              </w:rPr>
              <w:t>%)</w:t>
            </w: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2248CD" w14:textId="55FE99EF" w:rsidR="00DA79BC" w:rsidRDefault="00DA79BC" w:rsidP="00A400FD">
            <w:pPr>
              <w:rPr>
                <w:rFonts w:ascii="Arial" w:hAnsi="Arial" w:cs="Arial"/>
                <w:color w:val="002C77"/>
                <w:sz w:val="18"/>
                <w:szCs w:val="18"/>
              </w:rPr>
            </w:pPr>
            <w:r w:rsidRPr="00FC2EA6">
              <w:rPr>
                <w:rFonts w:ascii="Arial" w:hAnsi="Arial" w:cs="Arial"/>
                <w:color w:val="002C77"/>
                <w:sz w:val="18"/>
                <w:szCs w:val="18"/>
              </w:rPr>
              <w:t>29/5/2024</w:t>
            </w:r>
            <w:r>
              <w:rPr>
                <w:rFonts w:ascii="Arial" w:hAnsi="Arial" w:cs="Arial"/>
                <w:color w:val="002C77"/>
                <w:sz w:val="18"/>
                <w:szCs w:val="18"/>
              </w:rPr>
              <w:t xml:space="preserve">: </w:t>
            </w:r>
            <w:r w:rsidRPr="00FC2EA6">
              <w:rPr>
                <w:rFonts w:ascii="Arial" w:hAnsi="Arial" w:cs="Arial"/>
                <w:b/>
                <w:bCs/>
                <w:color w:val="002C77"/>
                <w:sz w:val="18"/>
                <w:szCs w:val="18"/>
              </w:rPr>
              <w:t>Shareholder Proposal Regarding Report on Human Rights Risks in Non-U.S. Markets</w:t>
            </w:r>
            <w:r>
              <w:rPr>
                <w:rFonts w:ascii="Arial" w:hAnsi="Arial" w:cs="Arial"/>
                <w:color w:val="002C77"/>
                <w:sz w:val="18"/>
                <w:szCs w:val="18"/>
              </w:rPr>
              <w:br/>
            </w:r>
            <w:r>
              <w:rPr>
                <w:rFonts w:ascii="Arial" w:hAnsi="Arial" w:cs="Arial"/>
                <w:i/>
                <w:iCs/>
                <w:color w:val="002C77"/>
                <w:sz w:val="18"/>
                <w:szCs w:val="18"/>
              </w:rPr>
              <w:t>(Social)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4FD3A3" w14:textId="162EB30F" w:rsidR="00DA79BC" w:rsidRDefault="00DA79BC" w:rsidP="00F24D4B">
            <w:pPr>
              <w:spacing w:after="120"/>
              <w:rPr>
                <w:rFonts w:ascii="Arial" w:hAnsi="Arial" w:cs="Arial"/>
                <w:b/>
                <w:bCs/>
                <w:color w:val="002C77"/>
                <w:sz w:val="18"/>
                <w:szCs w:val="18"/>
              </w:rPr>
            </w:pPr>
            <w:r>
              <w:rPr>
                <w:rFonts w:ascii="Arial" w:hAnsi="Arial" w:cs="Arial"/>
                <w:b/>
                <w:bCs/>
                <w:color w:val="002C77"/>
                <w:sz w:val="18"/>
                <w:szCs w:val="18"/>
              </w:rPr>
              <w:t>Against</w:t>
            </w:r>
            <w:r>
              <w:rPr>
                <w:rFonts w:ascii="Arial" w:hAnsi="Arial" w:cs="Arial"/>
                <w:b/>
                <w:bCs/>
                <w:color w:val="002C77"/>
                <w:sz w:val="18"/>
                <w:szCs w:val="18"/>
              </w:rPr>
              <w:br/>
            </w:r>
            <w:r w:rsidRPr="00B92BEA">
              <w:rPr>
                <w:rFonts w:ascii="Arial" w:hAnsi="Arial" w:cs="Arial"/>
                <w:i/>
                <w:color w:val="002C77"/>
                <w:sz w:val="18"/>
                <w:szCs w:val="18"/>
              </w:rPr>
              <w:t>(</w:t>
            </w:r>
            <w:r w:rsidRPr="00FC2EA6">
              <w:rPr>
                <w:rFonts w:ascii="Arial" w:hAnsi="Arial" w:cs="Arial"/>
                <w:i/>
                <w:color w:val="002C77"/>
                <w:sz w:val="18"/>
                <w:szCs w:val="18"/>
              </w:rPr>
              <w:t xml:space="preserve">N/A - Meta has a corporate human rights policy in place and the board’s Audit and Risk Oversight Committee manages the company’s risk exposures including human rights risks. Meta has also established an independent Oversight Committee that reviews the company’s content moderation policies and provides issue specific feedback to </w:t>
            </w:r>
            <w:r w:rsidRPr="00FC2EA6">
              <w:rPr>
                <w:rFonts w:ascii="Arial" w:hAnsi="Arial" w:cs="Arial"/>
                <w:i/>
                <w:color w:val="002C77"/>
                <w:sz w:val="18"/>
                <w:szCs w:val="18"/>
              </w:rPr>
              <w:lastRenderedPageBreak/>
              <w:t>the team for redressal of concerns. While there have been instances of negative media attention, on the whole, the company has sufficient measures to evaluate and manage human rights risks related to content moderation in non-U.S. markets</w:t>
            </w:r>
            <w:r w:rsidRPr="004E1935">
              <w:rPr>
                <w:rFonts w:ascii="Arial" w:hAnsi="Arial" w:cs="Arial"/>
                <w:i/>
                <w:color w:val="002C77"/>
                <w:sz w:val="18"/>
                <w:szCs w:val="18"/>
              </w:rPr>
              <w:t>.</w:t>
            </w:r>
            <w:r w:rsidRPr="00B92BEA">
              <w:rPr>
                <w:rFonts w:ascii="Arial" w:hAnsi="Arial" w:cs="Arial"/>
                <w:i/>
                <w:color w:val="002C77"/>
                <w:sz w:val="18"/>
                <w:szCs w:val="18"/>
              </w:rPr>
              <w:t>)</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hideMark/>
          </w:tcPr>
          <w:p w14:paraId="608CD8B5" w14:textId="77777777" w:rsidR="0035147A" w:rsidRDefault="00DA79BC" w:rsidP="00FC2EA6">
            <w:pPr>
              <w:rPr>
                <w:rFonts w:ascii="Arial" w:hAnsi="Arial" w:cs="Arial"/>
                <w:color w:val="002C77"/>
                <w:sz w:val="18"/>
                <w:szCs w:val="18"/>
              </w:rPr>
            </w:pPr>
            <w:r w:rsidRPr="00FC2EA6">
              <w:rPr>
                <w:rFonts w:ascii="Arial" w:hAnsi="Arial" w:cs="Arial"/>
                <w:b/>
                <w:color w:val="002C77"/>
                <w:sz w:val="18"/>
                <w:szCs w:val="18"/>
              </w:rPr>
              <w:lastRenderedPageBreak/>
              <w:t>5.5% Support</w:t>
            </w:r>
            <w:r>
              <w:rPr>
                <w:rFonts w:ascii="Arial" w:hAnsi="Arial" w:cs="Arial"/>
                <w:color w:val="002C77"/>
                <w:sz w:val="18"/>
                <w:szCs w:val="18"/>
              </w:rPr>
              <w:br/>
            </w:r>
            <w:r w:rsidRPr="00FC2EA6">
              <w:rPr>
                <w:rFonts w:ascii="Arial" w:hAnsi="Arial" w:cs="Arial"/>
                <w:color w:val="002C77"/>
                <w:sz w:val="18"/>
                <w:szCs w:val="18"/>
              </w:rPr>
              <w:t>Proposal did not pass.</w:t>
            </w:r>
          </w:p>
          <w:p w14:paraId="0876F507" w14:textId="3DFE5197" w:rsidR="00DA79BC" w:rsidRDefault="00DA79BC" w:rsidP="00FC2EA6">
            <w:pPr>
              <w:rPr>
                <w:rFonts w:ascii="Arial" w:hAnsi="Arial" w:cs="Arial"/>
                <w:color w:val="002C77"/>
                <w:sz w:val="18"/>
                <w:szCs w:val="18"/>
              </w:rPr>
            </w:pPr>
            <w:r w:rsidRPr="00FC2EA6">
              <w:rPr>
                <w:rFonts w:ascii="Arial" w:hAnsi="Arial" w:cs="Arial"/>
                <w:color w:val="002C77"/>
                <w:sz w:val="18"/>
                <w:szCs w:val="18"/>
              </w:rPr>
              <w:t xml:space="preserve"> </w:t>
            </w:r>
            <w:r>
              <w:rPr>
                <w:rFonts w:ascii="Arial" w:hAnsi="Arial" w:cs="Arial"/>
                <w:color w:val="002C77"/>
                <w:sz w:val="18"/>
                <w:szCs w:val="18"/>
              </w:rPr>
              <w:br/>
            </w:r>
            <w:r w:rsidRPr="00FC2EA6">
              <w:rPr>
                <w:rFonts w:ascii="Arial" w:hAnsi="Arial" w:cs="Arial"/>
                <w:color w:val="002C77"/>
                <w:sz w:val="18"/>
                <w:szCs w:val="18"/>
              </w:rPr>
              <w:t>(N/A)</w:t>
            </w:r>
          </w:p>
        </w:tc>
      </w:tr>
      <w:tr w:rsidR="00DA79BC" w:rsidRPr="00B92BEA" w14:paraId="684FC66D" w14:textId="77777777" w:rsidTr="00F02189">
        <w:trPr>
          <w:trHeight w:val="1528"/>
        </w:trPr>
        <w:tc>
          <w:tcPr>
            <w:tcW w:w="1387" w:type="dxa"/>
            <w:vMerge/>
            <w:tcBorders>
              <w:left w:val="single" w:sz="8" w:space="0" w:color="BFBFBF"/>
              <w:right w:val="nil"/>
            </w:tcBorders>
            <w:shd w:val="clear" w:color="auto" w:fill="F2F2F2" w:themeFill="background1" w:themeFillShade="F2"/>
            <w:vAlign w:val="center"/>
          </w:tcPr>
          <w:p w14:paraId="3AFC43B3" w14:textId="77777777" w:rsidR="00DA79BC" w:rsidRDefault="00DA79BC" w:rsidP="00A400FD">
            <w:pPr>
              <w:rPr>
                <w:rFonts w:ascii="Arial" w:hAnsi="Arial" w:cs="Arial"/>
                <w:b/>
                <w:bCs/>
                <w:color w:val="002C77"/>
                <w:sz w:val="18"/>
                <w:szCs w:val="18"/>
              </w:rPr>
            </w:pPr>
          </w:p>
        </w:tc>
        <w:tc>
          <w:tcPr>
            <w:tcW w:w="1778" w:type="dxa"/>
            <w:vMerge/>
            <w:tcBorders>
              <w:left w:val="nil"/>
              <w:right w:val="single" w:sz="4" w:space="0" w:color="BFBFBF" w:themeColor="background1" w:themeShade="BF"/>
            </w:tcBorders>
            <w:vAlign w:val="center"/>
          </w:tcPr>
          <w:p w14:paraId="7ABDF4BA" w14:textId="77777777" w:rsidR="00DA79BC" w:rsidRPr="00B92BEA" w:rsidRDefault="00DA79BC" w:rsidP="00A400FD">
            <w:pPr>
              <w:rPr>
                <w:rFonts w:ascii="Arial" w:hAnsi="Arial" w:cs="Arial"/>
                <w:b/>
                <w:color w:val="002C77"/>
                <w:sz w:val="18"/>
                <w:szCs w:val="18"/>
              </w:rPr>
            </w:pP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628771" w14:textId="46CB056E" w:rsidR="00DA79BC" w:rsidRPr="004E1935" w:rsidRDefault="00DA79BC" w:rsidP="00A400FD">
            <w:pPr>
              <w:rPr>
                <w:rFonts w:ascii="Arial" w:hAnsi="Arial" w:cs="Arial"/>
                <w:color w:val="002C77"/>
                <w:sz w:val="18"/>
                <w:szCs w:val="18"/>
              </w:rPr>
            </w:pPr>
            <w:r w:rsidRPr="006213AD">
              <w:rPr>
                <w:rFonts w:ascii="Arial" w:hAnsi="Arial" w:cs="Arial"/>
                <w:color w:val="002C77"/>
                <w:sz w:val="18"/>
                <w:szCs w:val="18"/>
              </w:rPr>
              <w:t>29/5/2024</w:t>
            </w:r>
            <w:r w:rsidRPr="004E1935">
              <w:rPr>
                <w:rFonts w:ascii="Arial" w:hAnsi="Arial" w:cs="Arial"/>
                <w:color w:val="002C77"/>
                <w:sz w:val="18"/>
                <w:szCs w:val="18"/>
              </w:rPr>
              <w:t xml:space="preserve">: </w:t>
            </w:r>
            <w:r w:rsidRPr="006213AD">
              <w:rPr>
                <w:rFonts w:ascii="Arial" w:hAnsi="Arial" w:cs="Arial"/>
                <w:b/>
                <w:bCs/>
                <w:color w:val="002C77"/>
                <w:sz w:val="18"/>
                <w:szCs w:val="18"/>
              </w:rPr>
              <w:t>Shareholder Proposal Regarding Human Rights Impact Assessment of AI Used in Targeted Advertising</w:t>
            </w:r>
          </w:p>
          <w:p w14:paraId="32F2EE44" w14:textId="77777777" w:rsidR="00DA79BC" w:rsidRDefault="00DA79BC" w:rsidP="00A400FD">
            <w:pPr>
              <w:rPr>
                <w:rFonts w:ascii="Arial" w:hAnsi="Arial" w:cs="Arial"/>
                <w:color w:val="002C77"/>
                <w:sz w:val="18"/>
                <w:szCs w:val="18"/>
              </w:rPr>
            </w:pPr>
            <w:r w:rsidRPr="004E1935">
              <w:rPr>
                <w:rFonts w:ascii="Arial" w:hAnsi="Arial" w:cs="Arial"/>
                <w:color w:val="002C77"/>
                <w:sz w:val="18"/>
                <w:szCs w:val="18"/>
              </w:rPr>
              <w:t>(Social)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B75FB" w14:textId="2055F861" w:rsidR="00DA79BC" w:rsidRDefault="00DA79BC" w:rsidP="00A400FD">
            <w:pPr>
              <w:rPr>
                <w:rFonts w:ascii="Arial" w:hAnsi="Arial" w:cs="Arial"/>
                <w:b/>
                <w:bCs/>
                <w:color w:val="002C77"/>
                <w:sz w:val="18"/>
                <w:szCs w:val="18"/>
              </w:rPr>
            </w:pPr>
            <w:r>
              <w:rPr>
                <w:rFonts w:ascii="Arial" w:hAnsi="Arial" w:cs="Arial"/>
                <w:b/>
                <w:bCs/>
                <w:color w:val="002C77"/>
                <w:sz w:val="18"/>
                <w:szCs w:val="18"/>
              </w:rPr>
              <w:t>For</w:t>
            </w:r>
            <w:r>
              <w:rPr>
                <w:rFonts w:ascii="Arial" w:hAnsi="Arial" w:cs="Arial"/>
                <w:b/>
                <w:bCs/>
                <w:color w:val="002C77"/>
                <w:sz w:val="18"/>
                <w:szCs w:val="18"/>
              </w:rPr>
              <w:br/>
            </w:r>
            <w:r w:rsidRPr="00B92BEA">
              <w:rPr>
                <w:rFonts w:ascii="Arial" w:hAnsi="Arial" w:cs="Arial"/>
                <w:i/>
                <w:color w:val="002C77"/>
                <w:sz w:val="18"/>
                <w:szCs w:val="18"/>
              </w:rPr>
              <w:t>(</w:t>
            </w:r>
            <w:r w:rsidRPr="006213AD">
              <w:rPr>
                <w:rFonts w:ascii="Arial" w:hAnsi="Arial" w:cs="Arial"/>
                <w:i/>
                <w:color w:val="002C77"/>
                <w:sz w:val="18"/>
                <w:szCs w:val="18"/>
              </w:rPr>
              <w:t>No - Many of the risks to the company over its advertising practices come from legislation enacted to protect human rights such as the freedom to privacy. These risks appear to be growing as the European Union, and some states in the U.S., enact further legal safeguards. In the EU, the company has also faced fines and adverse legal judgments that impact its business. A third-party assessment on the company's policies and practices related to targeted advertising could help shareholders assess the company's management of human rights-related risks</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tcPr>
          <w:p w14:paraId="654FB5CC" w14:textId="77777777" w:rsidR="0035147A" w:rsidRDefault="00DA79BC" w:rsidP="006213AD">
            <w:pPr>
              <w:rPr>
                <w:rFonts w:ascii="Arial" w:hAnsi="Arial" w:cs="Arial"/>
                <w:color w:val="002C77"/>
                <w:sz w:val="18"/>
                <w:szCs w:val="18"/>
              </w:rPr>
            </w:pPr>
            <w:r w:rsidRPr="006213AD">
              <w:rPr>
                <w:rFonts w:ascii="Arial" w:hAnsi="Arial" w:cs="Arial"/>
                <w:b/>
                <w:color w:val="002C77"/>
                <w:sz w:val="18"/>
                <w:szCs w:val="18"/>
              </w:rPr>
              <w:t>14.4% Support</w:t>
            </w:r>
            <w:r>
              <w:rPr>
                <w:rFonts w:ascii="Arial" w:hAnsi="Arial" w:cs="Arial"/>
                <w:color w:val="002C77"/>
                <w:sz w:val="18"/>
                <w:szCs w:val="18"/>
              </w:rPr>
              <w:br/>
            </w:r>
            <w:r w:rsidRPr="006213AD">
              <w:rPr>
                <w:rFonts w:ascii="Arial" w:hAnsi="Arial" w:cs="Arial"/>
                <w:color w:val="002C77"/>
                <w:sz w:val="18"/>
                <w:szCs w:val="18"/>
              </w:rPr>
              <w:t xml:space="preserve">Proposal did not pass. </w:t>
            </w:r>
          </w:p>
          <w:p w14:paraId="48D9D867" w14:textId="2F2CD0B7" w:rsidR="00DA79BC" w:rsidRPr="006213AD" w:rsidRDefault="00DA79BC" w:rsidP="006213AD">
            <w:pPr>
              <w:rPr>
                <w:rFonts w:ascii="Arial" w:hAnsi="Arial" w:cs="Arial"/>
                <w:color w:val="002C77"/>
                <w:sz w:val="18"/>
                <w:szCs w:val="18"/>
              </w:rPr>
            </w:pPr>
            <w:r>
              <w:rPr>
                <w:rFonts w:ascii="Arial" w:hAnsi="Arial" w:cs="Arial"/>
                <w:color w:val="002C77"/>
                <w:sz w:val="18"/>
                <w:szCs w:val="18"/>
              </w:rPr>
              <w:br/>
            </w:r>
            <w:r w:rsidRPr="006213AD">
              <w:rPr>
                <w:rFonts w:ascii="Arial" w:hAnsi="Arial" w:cs="Arial"/>
                <w:color w:val="002C77"/>
                <w:sz w:val="18"/>
                <w:szCs w:val="18"/>
              </w:rPr>
              <w:t>(N/A – Manager will follow up in post-season engagement to verify any progress on this topic.)</w:t>
            </w:r>
          </w:p>
        </w:tc>
      </w:tr>
      <w:tr w:rsidR="00DA79BC" w:rsidRPr="00B92BEA" w14:paraId="73580183" w14:textId="77777777" w:rsidTr="00F02189">
        <w:trPr>
          <w:trHeight w:val="1528"/>
        </w:trPr>
        <w:tc>
          <w:tcPr>
            <w:tcW w:w="1387" w:type="dxa"/>
            <w:vMerge/>
            <w:tcBorders>
              <w:left w:val="single" w:sz="8" w:space="0" w:color="BFBFBF"/>
              <w:right w:val="nil"/>
            </w:tcBorders>
            <w:shd w:val="clear" w:color="auto" w:fill="F2F2F2" w:themeFill="background1" w:themeFillShade="F2"/>
            <w:vAlign w:val="center"/>
          </w:tcPr>
          <w:p w14:paraId="577C29B9" w14:textId="77777777" w:rsidR="00DA79BC" w:rsidRDefault="00DA79BC" w:rsidP="00A400FD">
            <w:pPr>
              <w:rPr>
                <w:rFonts w:ascii="Arial" w:hAnsi="Arial" w:cs="Arial"/>
                <w:b/>
                <w:bCs/>
                <w:color w:val="002C77"/>
                <w:sz w:val="18"/>
                <w:szCs w:val="18"/>
              </w:rPr>
            </w:pPr>
          </w:p>
        </w:tc>
        <w:tc>
          <w:tcPr>
            <w:tcW w:w="1778" w:type="dxa"/>
            <w:vMerge/>
            <w:tcBorders>
              <w:left w:val="nil"/>
              <w:bottom w:val="single" w:sz="4" w:space="0" w:color="BFBFBF" w:themeColor="background1" w:themeShade="BF"/>
              <w:right w:val="single" w:sz="4" w:space="0" w:color="BFBFBF" w:themeColor="background1" w:themeShade="BF"/>
            </w:tcBorders>
            <w:vAlign w:val="center"/>
          </w:tcPr>
          <w:p w14:paraId="51598E26" w14:textId="77777777" w:rsidR="00DA79BC" w:rsidRPr="00B92BEA" w:rsidRDefault="00DA79BC" w:rsidP="00A400FD">
            <w:pPr>
              <w:rPr>
                <w:rFonts w:ascii="Arial" w:hAnsi="Arial" w:cs="Arial"/>
                <w:b/>
                <w:color w:val="002C77"/>
                <w:sz w:val="18"/>
                <w:szCs w:val="18"/>
              </w:rPr>
            </w:pP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AF2FE1" w14:textId="3564AF5D" w:rsidR="00DA79BC" w:rsidRPr="004E1935" w:rsidRDefault="00DA79BC" w:rsidP="00A400FD">
            <w:pPr>
              <w:rPr>
                <w:rFonts w:ascii="Arial" w:hAnsi="Arial" w:cs="Arial"/>
                <w:color w:val="002C77"/>
                <w:sz w:val="18"/>
                <w:szCs w:val="18"/>
              </w:rPr>
            </w:pPr>
            <w:r w:rsidRPr="006213AD">
              <w:rPr>
                <w:rFonts w:ascii="Arial" w:hAnsi="Arial" w:cs="Arial"/>
                <w:color w:val="002C77"/>
                <w:sz w:val="18"/>
                <w:szCs w:val="18"/>
              </w:rPr>
              <w:t>29/5/2024</w:t>
            </w:r>
            <w:r w:rsidRPr="004E1935">
              <w:rPr>
                <w:rFonts w:ascii="Arial" w:hAnsi="Arial" w:cs="Arial"/>
                <w:color w:val="002C77"/>
                <w:sz w:val="18"/>
                <w:szCs w:val="18"/>
              </w:rPr>
              <w:t xml:space="preserve">: </w:t>
            </w:r>
            <w:r w:rsidRPr="006213AD">
              <w:rPr>
                <w:rFonts w:ascii="Arial" w:hAnsi="Arial" w:cs="Arial"/>
                <w:b/>
                <w:bCs/>
                <w:color w:val="002C77"/>
                <w:sz w:val="18"/>
                <w:szCs w:val="18"/>
              </w:rPr>
              <w:t>Shareholder Proposal Regarding Lobbying Activity Alignment with Net Zero Emissions Commitment</w:t>
            </w:r>
          </w:p>
          <w:p w14:paraId="22CCB00B" w14:textId="77777777" w:rsidR="00DA79BC" w:rsidRDefault="00DA79BC" w:rsidP="00F24D4B">
            <w:pPr>
              <w:spacing w:after="120"/>
              <w:rPr>
                <w:rFonts w:ascii="Arial" w:hAnsi="Arial" w:cs="Arial"/>
                <w:color w:val="002C77"/>
                <w:sz w:val="18"/>
                <w:szCs w:val="18"/>
              </w:rPr>
            </w:pPr>
            <w:r w:rsidRPr="004E1935">
              <w:rPr>
                <w:rFonts w:ascii="Arial" w:hAnsi="Arial" w:cs="Arial"/>
                <w:color w:val="002C77"/>
                <w:sz w:val="18"/>
                <w:szCs w:val="18"/>
              </w:rPr>
              <w:t>(Environmental)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8A5FA7" w14:textId="5449A1DB" w:rsidR="00DA79BC" w:rsidRDefault="00DA79BC" w:rsidP="00A400FD">
            <w:pPr>
              <w:rPr>
                <w:rFonts w:ascii="Arial" w:hAnsi="Arial" w:cs="Arial"/>
                <w:b/>
                <w:bCs/>
                <w:color w:val="002C77"/>
                <w:sz w:val="18"/>
                <w:szCs w:val="18"/>
              </w:rPr>
            </w:pPr>
            <w:r>
              <w:rPr>
                <w:rFonts w:ascii="Arial" w:hAnsi="Arial" w:cs="Arial"/>
                <w:b/>
                <w:bCs/>
                <w:color w:val="002C77"/>
                <w:sz w:val="18"/>
                <w:szCs w:val="18"/>
              </w:rPr>
              <w:t>For</w:t>
            </w:r>
            <w:r>
              <w:rPr>
                <w:rFonts w:ascii="Arial" w:hAnsi="Arial" w:cs="Arial"/>
                <w:b/>
                <w:bCs/>
                <w:color w:val="002C77"/>
                <w:sz w:val="18"/>
                <w:szCs w:val="18"/>
              </w:rPr>
              <w:br/>
            </w:r>
            <w:r w:rsidRPr="00B92BEA">
              <w:rPr>
                <w:rFonts w:ascii="Arial" w:hAnsi="Arial" w:cs="Arial"/>
                <w:i/>
                <w:color w:val="002C77"/>
                <w:sz w:val="18"/>
                <w:szCs w:val="18"/>
              </w:rPr>
              <w:t>(</w:t>
            </w:r>
            <w:r w:rsidRPr="006213AD">
              <w:rPr>
                <w:rFonts w:ascii="Arial" w:hAnsi="Arial" w:cs="Arial"/>
                <w:i/>
                <w:color w:val="002C77"/>
                <w:sz w:val="18"/>
                <w:szCs w:val="18"/>
              </w:rPr>
              <w:t>No - Meta provides limited disclosure around its direct and indirect lobbying expenditures. It also does not go into detail about how it assesses misalignment or what strategies it would use when misalignments are found. )</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tcPr>
          <w:p w14:paraId="5157C4FC" w14:textId="77777777" w:rsidR="0035147A" w:rsidRDefault="00DA79BC" w:rsidP="006213AD">
            <w:pPr>
              <w:rPr>
                <w:rFonts w:ascii="Arial" w:hAnsi="Arial" w:cs="Arial"/>
                <w:color w:val="002C77"/>
                <w:sz w:val="18"/>
                <w:szCs w:val="18"/>
              </w:rPr>
            </w:pPr>
            <w:r w:rsidRPr="006213AD">
              <w:rPr>
                <w:rFonts w:ascii="Arial" w:hAnsi="Arial" w:cs="Arial"/>
                <w:b/>
                <w:color w:val="002C77"/>
                <w:sz w:val="18"/>
                <w:szCs w:val="18"/>
              </w:rPr>
              <w:t>8.2% Support</w:t>
            </w:r>
            <w:r>
              <w:rPr>
                <w:rFonts w:ascii="Arial" w:hAnsi="Arial" w:cs="Arial"/>
                <w:color w:val="002C77"/>
                <w:sz w:val="18"/>
                <w:szCs w:val="18"/>
              </w:rPr>
              <w:br/>
            </w:r>
            <w:r w:rsidRPr="006213AD">
              <w:rPr>
                <w:rFonts w:ascii="Arial" w:hAnsi="Arial" w:cs="Arial"/>
                <w:color w:val="002C77"/>
                <w:sz w:val="18"/>
                <w:szCs w:val="18"/>
              </w:rPr>
              <w:t xml:space="preserve">Proposal did not pass. </w:t>
            </w:r>
          </w:p>
          <w:p w14:paraId="54845259" w14:textId="099918C4" w:rsidR="00DA79BC" w:rsidRPr="006213AD" w:rsidRDefault="00DA79BC" w:rsidP="006213AD">
            <w:pPr>
              <w:rPr>
                <w:rFonts w:ascii="Arial" w:hAnsi="Arial" w:cs="Arial"/>
                <w:color w:val="002C77"/>
                <w:sz w:val="18"/>
                <w:szCs w:val="18"/>
              </w:rPr>
            </w:pPr>
            <w:r>
              <w:rPr>
                <w:rFonts w:ascii="Arial" w:hAnsi="Arial" w:cs="Arial"/>
                <w:color w:val="002C77"/>
                <w:sz w:val="18"/>
                <w:szCs w:val="18"/>
              </w:rPr>
              <w:br/>
            </w:r>
            <w:r w:rsidRPr="006213AD">
              <w:rPr>
                <w:rFonts w:ascii="Arial" w:hAnsi="Arial" w:cs="Arial"/>
                <w:color w:val="002C77"/>
                <w:sz w:val="18"/>
                <w:szCs w:val="18"/>
              </w:rPr>
              <w:t>(N/A – Manager will follow up in post-season engagement to verify any progress on this topic.)</w:t>
            </w:r>
          </w:p>
        </w:tc>
      </w:tr>
      <w:tr w:rsidR="00DA79BC" w14:paraId="545B797A" w14:textId="77777777" w:rsidTr="00F02189">
        <w:trPr>
          <w:trHeight w:val="2258"/>
        </w:trPr>
        <w:tc>
          <w:tcPr>
            <w:tcW w:w="1387" w:type="dxa"/>
            <w:vMerge/>
            <w:tcBorders>
              <w:left w:val="single" w:sz="8" w:space="0" w:color="BFBFBF"/>
              <w:right w:val="nil"/>
            </w:tcBorders>
            <w:shd w:val="clear" w:color="auto" w:fill="F2F2F2" w:themeFill="background1" w:themeFillShade="F2"/>
            <w:vAlign w:val="center"/>
            <w:hideMark/>
          </w:tcPr>
          <w:p w14:paraId="123EEEFC" w14:textId="77777777" w:rsidR="00DA79BC" w:rsidRDefault="00DA79BC" w:rsidP="00A400FD">
            <w:pPr>
              <w:rPr>
                <w:rFonts w:ascii="Arial" w:hAnsi="Arial" w:cs="Arial"/>
                <w:b/>
                <w:bCs/>
                <w:color w:val="002C77"/>
                <w:sz w:val="18"/>
                <w:szCs w:val="18"/>
              </w:rPr>
            </w:pPr>
          </w:p>
        </w:tc>
        <w:tc>
          <w:tcPr>
            <w:tcW w:w="1778" w:type="dxa"/>
            <w:vMerge w:val="restart"/>
            <w:tcBorders>
              <w:top w:val="single" w:sz="4" w:space="0" w:color="BFBFBF" w:themeColor="background1" w:themeShade="BF"/>
              <w:left w:val="nil"/>
              <w:right w:val="single" w:sz="4" w:space="0" w:color="BFBFBF" w:themeColor="background1" w:themeShade="BF"/>
            </w:tcBorders>
            <w:vAlign w:val="center"/>
            <w:hideMark/>
          </w:tcPr>
          <w:p w14:paraId="1362FEB5" w14:textId="09F29D0A" w:rsidR="00DA79BC" w:rsidRDefault="00DA79BC" w:rsidP="00A400FD">
            <w:pPr>
              <w:rPr>
                <w:rFonts w:ascii="Arial" w:hAnsi="Arial" w:cs="Arial"/>
                <w:color w:val="002C77"/>
                <w:sz w:val="18"/>
                <w:szCs w:val="18"/>
              </w:rPr>
            </w:pPr>
            <w:r w:rsidRPr="00DA79BC">
              <w:rPr>
                <w:rFonts w:ascii="Arial" w:hAnsi="Arial" w:cs="Arial"/>
                <w:b/>
                <w:color w:val="002C77"/>
                <w:sz w:val="18"/>
                <w:szCs w:val="18"/>
              </w:rPr>
              <w:t>Alphabet Inc</w:t>
            </w:r>
            <w:r>
              <w:rPr>
                <w:rFonts w:ascii="Arial" w:hAnsi="Arial" w:cs="Arial"/>
                <w:color w:val="002C77"/>
                <w:sz w:val="18"/>
                <w:szCs w:val="18"/>
              </w:rPr>
              <w:br/>
            </w:r>
            <w:r>
              <w:rPr>
                <w:rFonts w:ascii="Arial" w:hAnsi="Arial" w:cs="Arial"/>
                <w:i/>
                <w:color w:val="002C77"/>
                <w:sz w:val="18"/>
                <w:szCs w:val="18"/>
              </w:rPr>
              <w:t>(5.2</w:t>
            </w:r>
            <w:r w:rsidRPr="00B92BEA">
              <w:rPr>
                <w:rFonts w:ascii="Arial" w:hAnsi="Arial" w:cs="Arial"/>
                <w:i/>
                <w:color w:val="002C77"/>
                <w:sz w:val="18"/>
                <w:szCs w:val="18"/>
              </w:rPr>
              <w:t>%)</w:t>
            </w:r>
          </w:p>
        </w:tc>
        <w:tc>
          <w:tcPr>
            <w:tcW w:w="252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hideMark/>
          </w:tcPr>
          <w:p w14:paraId="57D23254" w14:textId="31A8357F" w:rsidR="00DA79BC" w:rsidRDefault="00DA79BC" w:rsidP="00A400FD">
            <w:pPr>
              <w:rPr>
                <w:rFonts w:ascii="Arial" w:hAnsi="Arial" w:cs="Arial"/>
                <w:b/>
                <w:color w:val="002C77"/>
                <w:sz w:val="18"/>
                <w:szCs w:val="18"/>
              </w:rPr>
            </w:pPr>
            <w:r w:rsidRPr="00DA79BC">
              <w:rPr>
                <w:rFonts w:ascii="Arial" w:hAnsi="Arial" w:cs="Arial"/>
                <w:color w:val="002C77"/>
                <w:sz w:val="18"/>
                <w:szCs w:val="18"/>
              </w:rPr>
              <w:t>07/06/2024</w:t>
            </w:r>
            <w:r w:rsidRPr="00B92BEA">
              <w:rPr>
                <w:rFonts w:ascii="Arial" w:hAnsi="Arial" w:cs="Arial"/>
                <w:color w:val="002C77"/>
                <w:sz w:val="18"/>
                <w:szCs w:val="18"/>
              </w:rPr>
              <w:t xml:space="preserve">: </w:t>
            </w:r>
            <w:r w:rsidRPr="00DA79BC">
              <w:rPr>
                <w:rFonts w:ascii="Arial" w:hAnsi="Arial" w:cs="Arial"/>
                <w:b/>
                <w:color w:val="002C77"/>
                <w:sz w:val="18"/>
                <w:szCs w:val="18"/>
              </w:rPr>
              <w:t>Shareholder Proposal Regarding Equal Employment Opportunities (EEO) Policy Risk Report</w:t>
            </w:r>
          </w:p>
          <w:p w14:paraId="35E1B2C8" w14:textId="77777777" w:rsidR="00DA79BC" w:rsidRPr="00B92BEA" w:rsidRDefault="00DA79BC" w:rsidP="007B4BA9">
            <w:pPr>
              <w:rPr>
                <w:rFonts w:ascii="Arial" w:hAnsi="Arial" w:cs="Arial"/>
                <w:i/>
                <w:color w:val="002C77"/>
                <w:sz w:val="18"/>
                <w:szCs w:val="18"/>
              </w:rPr>
            </w:pPr>
            <w:r>
              <w:rPr>
                <w:rFonts w:ascii="Arial" w:hAnsi="Arial" w:cs="Arial"/>
                <w:i/>
                <w:iCs/>
                <w:color w:val="002C77"/>
                <w:sz w:val="18"/>
                <w:szCs w:val="18"/>
              </w:rPr>
              <w:t>(Social)</w:t>
            </w:r>
          </w:p>
        </w:tc>
        <w:tc>
          <w:tcPr>
            <w:tcW w:w="501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hideMark/>
          </w:tcPr>
          <w:p w14:paraId="2E947C92" w14:textId="1B8A3266" w:rsidR="00DA79BC" w:rsidRDefault="00DA79BC" w:rsidP="007B4BA9">
            <w:pPr>
              <w:rPr>
                <w:rFonts w:ascii="Arial" w:hAnsi="Arial" w:cs="Arial"/>
                <w:b/>
                <w:bCs/>
                <w:color w:val="002C77"/>
                <w:sz w:val="18"/>
                <w:szCs w:val="18"/>
              </w:rPr>
            </w:pPr>
            <w:r w:rsidRPr="00DA79BC">
              <w:rPr>
                <w:rFonts w:ascii="Arial" w:hAnsi="Arial" w:cs="Arial"/>
                <w:b/>
                <w:bCs/>
                <w:color w:val="002C77"/>
                <w:sz w:val="18"/>
                <w:szCs w:val="18"/>
              </w:rPr>
              <w:t>Against</w:t>
            </w:r>
            <w:r>
              <w:rPr>
                <w:rFonts w:ascii="Arial" w:hAnsi="Arial" w:cs="Arial"/>
                <w:b/>
                <w:bCs/>
                <w:color w:val="002C77"/>
                <w:sz w:val="18"/>
                <w:szCs w:val="18"/>
              </w:rPr>
              <w:br/>
            </w:r>
            <w:r w:rsidRPr="00B92BEA">
              <w:rPr>
                <w:rFonts w:ascii="Arial" w:hAnsi="Arial" w:cs="Arial"/>
                <w:i/>
                <w:color w:val="002C77"/>
                <w:sz w:val="18"/>
                <w:szCs w:val="18"/>
              </w:rPr>
              <w:t>(</w:t>
            </w:r>
            <w:r w:rsidRPr="00DA79BC">
              <w:rPr>
                <w:rFonts w:ascii="Arial" w:hAnsi="Arial" w:cs="Arial"/>
                <w:i/>
                <w:color w:val="002C77"/>
                <w:sz w:val="18"/>
                <w:szCs w:val="18"/>
              </w:rPr>
              <w:t>N/A - Alphabet has an EEO Policy which promotes a work environment that respects different points of view and ensures that employees are not subject to harassment, intimidation, bias, and discrimination. The company's current commitments, policies, and disclosures provide investors with adequate information to evaluate how the company protects against discrimination towards employees and any associated risks.)</w:t>
            </w:r>
          </w:p>
        </w:tc>
        <w:tc>
          <w:tcPr>
            <w:tcW w:w="4182" w:type="dxa"/>
            <w:tcBorders>
              <w:top w:val="single" w:sz="4" w:space="0" w:color="BFBFBF" w:themeColor="background1" w:themeShade="BF"/>
              <w:left w:val="single" w:sz="4" w:space="0" w:color="BFBFBF" w:themeColor="background1" w:themeShade="BF"/>
              <w:bottom w:val="nil"/>
              <w:right w:val="single" w:sz="8" w:space="0" w:color="BFBFBF"/>
            </w:tcBorders>
            <w:vAlign w:val="center"/>
            <w:hideMark/>
          </w:tcPr>
          <w:p w14:paraId="720A20CC" w14:textId="77777777" w:rsidR="0035147A" w:rsidRDefault="00DA79BC" w:rsidP="007B4BA9">
            <w:pPr>
              <w:rPr>
                <w:rFonts w:ascii="Arial" w:hAnsi="Arial" w:cs="Arial"/>
                <w:color w:val="002C77"/>
                <w:sz w:val="18"/>
                <w:szCs w:val="18"/>
              </w:rPr>
            </w:pPr>
            <w:r w:rsidRPr="00DA79BC">
              <w:rPr>
                <w:rFonts w:ascii="Arial" w:hAnsi="Arial" w:cs="Arial"/>
                <w:b/>
                <w:color w:val="002C77"/>
                <w:sz w:val="18"/>
                <w:szCs w:val="18"/>
              </w:rPr>
              <w:t>0.2% Support</w:t>
            </w:r>
            <w:r>
              <w:rPr>
                <w:rFonts w:ascii="Arial" w:hAnsi="Arial" w:cs="Arial"/>
                <w:color w:val="002C77"/>
                <w:sz w:val="18"/>
                <w:szCs w:val="18"/>
              </w:rPr>
              <w:br/>
              <w:t xml:space="preserve">Proposal did not pass. </w:t>
            </w:r>
          </w:p>
          <w:p w14:paraId="117BC5AF" w14:textId="28DAEEDB" w:rsidR="00DA79BC" w:rsidRDefault="00DA79BC" w:rsidP="007B4BA9">
            <w:pPr>
              <w:rPr>
                <w:rFonts w:ascii="Arial" w:hAnsi="Arial" w:cs="Arial"/>
                <w:color w:val="002C77"/>
                <w:sz w:val="18"/>
                <w:szCs w:val="18"/>
              </w:rPr>
            </w:pPr>
            <w:r>
              <w:rPr>
                <w:rFonts w:ascii="Arial" w:hAnsi="Arial" w:cs="Arial"/>
                <w:color w:val="002C77"/>
                <w:sz w:val="18"/>
                <w:szCs w:val="18"/>
              </w:rPr>
              <w:br/>
            </w:r>
            <w:r w:rsidRPr="00B92BEA">
              <w:rPr>
                <w:rFonts w:ascii="Arial" w:hAnsi="Arial" w:cs="Arial"/>
                <w:i/>
                <w:color w:val="002C77"/>
                <w:sz w:val="18"/>
                <w:szCs w:val="18"/>
              </w:rPr>
              <w:t>(</w:t>
            </w:r>
            <w:r>
              <w:rPr>
                <w:rFonts w:ascii="Arial" w:hAnsi="Arial" w:cs="Arial"/>
                <w:i/>
                <w:color w:val="002C77"/>
                <w:sz w:val="18"/>
                <w:szCs w:val="18"/>
              </w:rPr>
              <w:t>N/a</w:t>
            </w:r>
            <w:r w:rsidRPr="00B92BEA">
              <w:rPr>
                <w:rFonts w:ascii="Arial" w:hAnsi="Arial" w:cs="Arial"/>
                <w:i/>
                <w:color w:val="002C77"/>
                <w:sz w:val="18"/>
                <w:szCs w:val="18"/>
              </w:rPr>
              <w:t>)</w:t>
            </w:r>
          </w:p>
        </w:tc>
      </w:tr>
      <w:tr w:rsidR="00DA79BC" w14:paraId="6938FC16" w14:textId="77777777" w:rsidTr="00F02189">
        <w:trPr>
          <w:trHeight w:val="2258"/>
        </w:trPr>
        <w:tc>
          <w:tcPr>
            <w:tcW w:w="1387" w:type="dxa"/>
            <w:vMerge/>
            <w:tcBorders>
              <w:left w:val="single" w:sz="8" w:space="0" w:color="BFBFBF"/>
              <w:bottom w:val="single" w:sz="8" w:space="0" w:color="BFBFBF"/>
              <w:right w:val="nil"/>
            </w:tcBorders>
            <w:shd w:val="clear" w:color="auto" w:fill="F2F2F2" w:themeFill="background1" w:themeFillShade="F2"/>
            <w:vAlign w:val="center"/>
          </w:tcPr>
          <w:p w14:paraId="7BC9D86E" w14:textId="77777777" w:rsidR="00DA79BC" w:rsidRDefault="00DA79BC" w:rsidP="00A400FD">
            <w:pPr>
              <w:rPr>
                <w:rFonts w:ascii="Arial" w:hAnsi="Arial" w:cs="Arial"/>
                <w:b/>
                <w:bCs/>
                <w:color w:val="002C77"/>
                <w:sz w:val="18"/>
                <w:szCs w:val="18"/>
              </w:rPr>
            </w:pPr>
          </w:p>
        </w:tc>
        <w:tc>
          <w:tcPr>
            <w:tcW w:w="1778" w:type="dxa"/>
            <w:vMerge/>
            <w:tcBorders>
              <w:left w:val="nil"/>
              <w:right w:val="single" w:sz="4" w:space="0" w:color="BFBFBF" w:themeColor="background1" w:themeShade="BF"/>
            </w:tcBorders>
            <w:vAlign w:val="center"/>
          </w:tcPr>
          <w:p w14:paraId="0980FBA9" w14:textId="77777777" w:rsidR="00DA79BC" w:rsidRDefault="00DA79BC" w:rsidP="00A400FD">
            <w:pPr>
              <w:rPr>
                <w:rFonts w:ascii="Arial" w:hAnsi="Arial" w:cs="Arial"/>
                <w:b/>
                <w:color w:val="002C77"/>
                <w:sz w:val="18"/>
                <w:szCs w:val="18"/>
              </w:rPr>
            </w:pPr>
          </w:p>
        </w:tc>
        <w:tc>
          <w:tcPr>
            <w:tcW w:w="252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7213FAB5" w14:textId="3B97F2B6" w:rsidR="00DA79BC" w:rsidRDefault="00DA79BC" w:rsidP="00DA79BC">
            <w:pPr>
              <w:rPr>
                <w:rFonts w:ascii="Arial" w:hAnsi="Arial" w:cs="Arial"/>
                <w:b/>
                <w:color w:val="002C77"/>
                <w:sz w:val="18"/>
                <w:szCs w:val="18"/>
              </w:rPr>
            </w:pPr>
            <w:r w:rsidRPr="00DA79BC">
              <w:rPr>
                <w:rFonts w:ascii="Arial" w:hAnsi="Arial" w:cs="Arial"/>
                <w:color w:val="002C77"/>
                <w:sz w:val="18"/>
                <w:szCs w:val="18"/>
              </w:rPr>
              <w:t>07/06/2024</w:t>
            </w:r>
            <w:r w:rsidRPr="00B92BEA">
              <w:rPr>
                <w:rFonts w:ascii="Arial" w:hAnsi="Arial" w:cs="Arial"/>
                <w:color w:val="002C77"/>
                <w:sz w:val="18"/>
                <w:szCs w:val="18"/>
              </w:rPr>
              <w:t xml:space="preserve">: </w:t>
            </w:r>
            <w:r w:rsidRPr="00DA79BC">
              <w:rPr>
                <w:rFonts w:ascii="Arial" w:hAnsi="Arial" w:cs="Arial"/>
                <w:b/>
                <w:color w:val="002C77"/>
                <w:sz w:val="18"/>
                <w:szCs w:val="18"/>
              </w:rPr>
              <w:t>Shareholder Proposal Regarding Human Rights Impact Assessment of AI-Driven Targeted Advertising</w:t>
            </w:r>
          </w:p>
          <w:p w14:paraId="34433413" w14:textId="0385D81C" w:rsidR="00DA79BC" w:rsidRDefault="00DA79BC" w:rsidP="00DA79BC">
            <w:pPr>
              <w:rPr>
                <w:rFonts w:ascii="Arial" w:hAnsi="Arial" w:cs="Arial"/>
                <w:color w:val="002C77"/>
                <w:sz w:val="18"/>
                <w:szCs w:val="18"/>
              </w:rPr>
            </w:pPr>
            <w:r>
              <w:rPr>
                <w:rFonts w:ascii="Arial" w:hAnsi="Arial" w:cs="Arial"/>
                <w:i/>
                <w:iCs/>
                <w:color w:val="002C77"/>
                <w:sz w:val="18"/>
                <w:szCs w:val="18"/>
              </w:rPr>
              <w:t>(Social)</w:t>
            </w:r>
          </w:p>
        </w:tc>
        <w:tc>
          <w:tcPr>
            <w:tcW w:w="501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113180CA" w14:textId="1FBC3212" w:rsidR="00DA79BC" w:rsidRDefault="00DA79BC" w:rsidP="007B4BA9">
            <w:pPr>
              <w:rPr>
                <w:rFonts w:ascii="Arial" w:hAnsi="Arial" w:cs="Arial"/>
                <w:b/>
                <w:bCs/>
                <w:color w:val="002C77"/>
                <w:sz w:val="18"/>
                <w:szCs w:val="18"/>
              </w:rPr>
            </w:pPr>
            <w:r>
              <w:rPr>
                <w:rFonts w:ascii="Arial" w:hAnsi="Arial" w:cs="Arial"/>
                <w:b/>
                <w:bCs/>
                <w:color w:val="002C77"/>
                <w:sz w:val="18"/>
                <w:szCs w:val="18"/>
              </w:rPr>
              <w:t>For</w:t>
            </w:r>
            <w:r>
              <w:rPr>
                <w:rFonts w:ascii="Arial" w:hAnsi="Arial" w:cs="Arial"/>
                <w:b/>
                <w:bCs/>
                <w:color w:val="002C77"/>
                <w:sz w:val="18"/>
                <w:szCs w:val="18"/>
              </w:rPr>
              <w:br/>
            </w:r>
            <w:r w:rsidRPr="00B92BEA">
              <w:rPr>
                <w:rFonts w:ascii="Arial" w:hAnsi="Arial" w:cs="Arial"/>
                <w:i/>
                <w:color w:val="002C77"/>
                <w:sz w:val="18"/>
                <w:szCs w:val="18"/>
              </w:rPr>
              <w:t>(</w:t>
            </w:r>
            <w:r w:rsidRPr="00DA79BC">
              <w:rPr>
                <w:rFonts w:ascii="Arial" w:hAnsi="Arial" w:cs="Arial"/>
                <w:i/>
                <w:color w:val="002C77"/>
                <w:sz w:val="18"/>
                <w:szCs w:val="18"/>
              </w:rPr>
              <w:t>Yes - The company is taking some steps around responsible AI use and targeted advertising. However, and as noted by the proponent, targeted advertising is critical to the company's business. As there has been significant regulatory, legal, and reputational scrutiny around the company's targeted-advertising practices, the requested report would help shareholders better evaluate the effectiveness of the company's management of these issues and related risks.)</w:t>
            </w:r>
          </w:p>
        </w:tc>
        <w:tc>
          <w:tcPr>
            <w:tcW w:w="4182" w:type="dxa"/>
            <w:tcBorders>
              <w:top w:val="single" w:sz="4" w:space="0" w:color="BFBFBF" w:themeColor="background1" w:themeShade="BF"/>
              <w:left w:val="single" w:sz="4" w:space="0" w:color="BFBFBF" w:themeColor="background1" w:themeShade="BF"/>
              <w:bottom w:val="nil"/>
              <w:right w:val="single" w:sz="8" w:space="0" w:color="BFBFBF"/>
            </w:tcBorders>
            <w:vAlign w:val="center"/>
          </w:tcPr>
          <w:p w14:paraId="426E9F1D" w14:textId="77777777" w:rsidR="0035147A" w:rsidRDefault="00DA79BC" w:rsidP="00DA79BC">
            <w:pPr>
              <w:rPr>
                <w:rFonts w:ascii="Arial" w:hAnsi="Arial" w:cs="Arial"/>
                <w:color w:val="002C77"/>
                <w:sz w:val="18"/>
                <w:szCs w:val="18"/>
              </w:rPr>
            </w:pPr>
            <w:r w:rsidRPr="00DA79BC">
              <w:rPr>
                <w:rFonts w:ascii="Arial" w:hAnsi="Arial" w:cs="Arial"/>
                <w:b/>
                <w:color w:val="002C77"/>
                <w:sz w:val="18"/>
                <w:szCs w:val="18"/>
              </w:rPr>
              <w:t>18.5% Support</w:t>
            </w:r>
            <w:r>
              <w:rPr>
                <w:rFonts w:ascii="Arial" w:hAnsi="Arial" w:cs="Arial"/>
                <w:color w:val="002C77"/>
                <w:sz w:val="18"/>
                <w:szCs w:val="18"/>
              </w:rPr>
              <w:br/>
            </w:r>
            <w:r w:rsidRPr="00DA79BC">
              <w:rPr>
                <w:rFonts w:ascii="Arial" w:hAnsi="Arial" w:cs="Arial"/>
                <w:color w:val="002C77"/>
                <w:sz w:val="18"/>
                <w:szCs w:val="18"/>
              </w:rPr>
              <w:t>Proposal did not pass.</w:t>
            </w:r>
          </w:p>
          <w:p w14:paraId="33268E97" w14:textId="31FFEE88" w:rsidR="00DA79BC" w:rsidRPr="00DA79BC" w:rsidRDefault="00DA79BC" w:rsidP="00DA79BC">
            <w:pPr>
              <w:rPr>
                <w:rFonts w:ascii="Arial" w:hAnsi="Arial" w:cs="Arial"/>
                <w:color w:val="002C77"/>
                <w:sz w:val="18"/>
                <w:szCs w:val="18"/>
              </w:rPr>
            </w:pPr>
            <w:r w:rsidRPr="00DA79BC">
              <w:rPr>
                <w:rFonts w:ascii="Arial" w:hAnsi="Arial" w:cs="Arial"/>
                <w:color w:val="002C77"/>
                <w:sz w:val="18"/>
                <w:szCs w:val="18"/>
              </w:rPr>
              <w:t xml:space="preserve"> </w:t>
            </w:r>
            <w:r>
              <w:rPr>
                <w:rFonts w:ascii="Arial" w:hAnsi="Arial" w:cs="Arial"/>
                <w:color w:val="002C77"/>
                <w:sz w:val="18"/>
                <w:szCs w:val="18"/>
              </w:rPr>
              <w:br/>
            </w:r>
            <w:r w:rsidRPr="00DA79BC">
              <w:rPr>
                <w:rFonts w:ascii="Arial" w:hAnsi="Arial" w:cs="Arial"/>
                <w:color w:val="002C77"/>
                <w:sz w:val="18"/>
                <w:szCs w:val="18"/>
              </w:rPr>
              <w:t>(Manager to follow up in post-season engagement to verify any progress on this topic.)</w:t>
            </w:r>
          </w:p>
        </w:tc>
      </w:tr>
      <w:tr w:rsidR="007B4BA9" w:rsidRPr="00F12FCE" w14:paraId="7AE4775A" w14:textId="77777777" w:rsidTr="00F02189">
        <w:trPr>
          <w:trHeight w:val="653"/>
        </w:trPr>
        <w:tc>
          <w:tcPr>
            <w:tcW w:w="1387" w:type="dxa"/>
            <w:tcBorders>
              <w:top w:val="single" w:sz="4" w:space="0" w:color="FFFFFF" w:themeColor="background1"/>
              <w:left w:val="single" w:sz="8" w:space="0" w:color="BFBFBF"/>
              <w:bottom w:val="single" w:sz="4" w:space="0" w:color="FFFFFF" w:themeColor="background1"/>
              <w:right w:val="single" w:sz="4" w:space="0" w:color="FFFFFF" w:themeColor="background1"/>
            </w:tcBorders>
            <w:shd w:val="clear" w:color="auto" w:fill="00B0F0"/>
            <w:vAlign w:val="center"/>
          </w:tcPr>
          <w:p w14:paraId="742D0914"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Fund</w:t>
            </w:r>
          </w:p>
        </w:tc>
        <w:tc>
          <w:tcPr>
            <w:tcW w:w="17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7EC2352E" w14:textId="77777777" w:rsidR="00044BFF" w:rsidRPr="00F12FCE" w:rsidRDefault="00044BFF" w:rsidP="00A400FD">
            <w:pPr>
              <w:rPr>
                <w:rFonts w:ascii="Arial" w:hAnsi="Arial" w:cs="Arial"/>
                <w:b/>
                <w:color w:val="002C77"/>
                <w:sz w:val="18"/>
                <w:szCs w:val="18"/>
                <w:lang w:val="fr-CA"/>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7B7F1BB8"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 xml:space="preserve">Meeting Date -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5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56576558"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(Communication of vote against management - Rationale if available)</w:t>
            </w:r>
          </w:p>
        </w:tc>
        <w:tc>
          <w:tcPr>
            <w:tcW w:w="4182" w:type="dxa"/>
            <w:tcBorders>
              <w:top w:val="single" w:sz="4" w:space="0" w:color="FFFFFF" w:themeColor="background1"/>
              <w:left w:val="single" w:sz="4" w:space="0" w:color="FFFFFF" w:themeColor="background1"/>
              <w:bottom w:val="single" w:sz="4" w:space="0" w:color="FFFFFF" w:themeColor="background1"/>
              <w:right w:val="single" w:sz="8" w:space="0" w:color="BFBFBF"/>
            </w:tcBorders>
            <w:shd w:val="clear" w:color="auto" w:fill="00B0F0"/>
            <w:vAlign w:val="center"/>
          </w:tcPr>
          <w:p w14:paraId="71D7B26A" w14:textId="77777777" w:rsidR="00044BFF" w:rsidRPr="00F12FCE" w:rsidRDefault="00044BFF" w:rsidP="00A400FD">
            <w:pPr>
              <w:rPr>
                <w:rFonts w:ascii="Arial" w:hAnsi="Arial" w:cs="Arial"/>
                <w:color w:val="FF0000"/>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if available)</w:t>
            </w:r>
          </w:p>
        </w:tc>
      </w:tr>
      <w:tr w:rsidR="007B4BA9" w:rsidRPr="00F12FCE" w14:paraId="6721D299" w14:textId="77777777" w:rsidTr="00F02189">
        <w:trPr>
          <w:trHeight w:val="2565"/>
        </w:trPr>
        <w:tc>
          <w:tcPr>
            <w:tcW w:w="1387" w:type="dxa"/>
            <w:vMerge w:val="restart"/>
            <w:tcBorders>
              <w:top w:val="single" w:sz="4" w:space="0" w:color="FFFFFF" w:themeColor="background1"/>
              <w:left w:val="single" w:sz="8" w:space="0" w:color="BFBFBF"/>
              <w:bottom w:val="single" w:sz="8" w:space="0" w:color="BFBFBF"/>
              <w:right w:val="nil"/>
            </w:tcBorders>
            <w:shd w:val="clear" w:color="auto" w:fill="F2F2F2" w:themeFill="background1" w:themeFillShade="F2"/>
            <w:vAlign w:val="center"/>
            <w:hideMark/>
          </w:tcPr>
          <w:p w14:paraId="549542C0" w14:textId="1F22EB84" w:rsidR="00044BFF" w:rsidRDefault="00007A09" w:rsidP="00A400FD">
            <w:pPr>
              <w:rPr>
                <w:rFonts w:ascii="Arial" w:hAnsi="Arial" w:cs="Arial"/>
                <w:b/>
                <w:bCs/>
                <w:color w:val="002C77"/>
                <w:sz w:val="18"/>
                <w:szCs w:val="18"/>
              </w:rPr>
            </w:pPr>
            <w:r w:rsidRPr="00007A09">
              <w:rPr>
                <w:rFonts w:ascii="Arial" w:hAnsi="Arial" w:cs="Arial"/>
                <w:b/>
                <w:bCs/>
                <w:color w:val="002C77"/>
                <w:sz w:val="18"/>
                <w:szCs w:val="18"/>
                <w:lang w:eastAsia="en-GB"/>
              </w:rPr>
              <w:t>Mercer Passive Global Equity CCF</w:t>
            </w:r>
          </w:p>
        </w:tc>
        <w:tc>
          <w:tcPr>
            <w:tcW w:w="1778" w:type="dxa"/>
            <w:tcBorders>
              <w:top w:val="single" w:sz="4" w:space="0" w:color="FFFFFF" w:themeColor="background1"/>
              <w:left w:val="nil"/>
              <w:bottom w:val="single" w:sz="4" w:space="0" w:color="BFBFBF" w:themeColor="background1" w:themeShade="BF"/>
              <w:right w:val="single" w:sz="4" w:space="0" w:color="BFBFBF" w:themeColor="background1" w:themeShade="BF"/>
            </w:tcBorders>
            <w:vAlign w:val="center"/>
            <w:hideMark/>
          </w:tcPr>
          <w:p w14:paraId="7D2E9504" w14:textId="6A2C6630" w:rsidR="00044BFF" w:rsidRDefault="00007A09" w:rsidP="00F24D4B">
            <w:pPr>
              <w:spacing w:after="120"/>
              <w:rPr>
                <w:rFonts w:ascii="Arial" w:hAnsi="Arial" w:cs="Arial"/>
                <w:color w:val="002C77"/>
                <w:sz w:val="18"/>
                <w:szCs w:val="18"/>
              </w:rPr>
            </w:pPr>
            <w:r w:rsidRPr="00007A09">
              <w:rPr>
                <w:rFonts w:ascii="Arial" w:hAnsi="Arial" w:cs="Arial"/>
                <w:b/>
                <w:color w:val="002C77"/>
                <w:sz w:val="18"/>
                <w:szCs w:val="18"/>
                <w:lang w:val="fr-CA"/>
              </w:rPr>
              <w:t xml:space="preserve">Apple </w:t>
            </w:r>
            <w:proofErr w:type="spellStart"/>
            <w:r w:rsidRPr="00007A09">
              <w:rPr>
                <w:rFonts w:ascii="Arial" w:hAnsi="Arial" w:cs="Arial"/>
                <w:b/>
                <w:color w:val="002C77"/>
                <w:sz w:val="18"/>
                <w:szCs w:val="18"/>
                <w:lang w:val="fr-CA"/>
              </w:rPr>
              <w:t>Inc</w:t>
            </w:r>
            <w:proofErr w:type="spellEnd"/>
            <w:r w:rsidR="00044BFF" w:rsidRPr="00F12FCE">
              <w:rPr>
                <w:rFonts w:ascii="Arial" w:hAnsi="Arial" w:cs="Arial"/>
                <w:b/>
                <w:color w:val="002C77"/>
                <w:sz w:val="18"/>
                <w:szCs w:val="18"/>
                <w:lang w:val="fr-CA"/>
              </w:rPr>
              <w:br/>
            </w:r>
            <w:r w:rsidR="00044BFF" w:rsidRPr="00F12FCE">
              <w:rPr>
                <w:rFonts w:ascii="Arial" w:hAnsi="Arial" w:cs="Arial"/>
                <w:i/>
                <w:color w:val="002C77"/>
                <w:sz w:val="18"/>
                <w:szCs w:val="18"/>
              </w:rPr>
              <w:t>(</w:t>
            </w:r>
            <w:r>
              <w:rPr>
                <w:rFonts w:ascii="Arial" w:hAnsi="Arial" w:cs="Arial"/>
                <w:i/>
                <w:color w:val="002C77"/>
                <w:sz w:val="18"/>
                <w:szCs w:val="18"/>
              </w:rPr>
              <w:t>5</w:t>
            </w:r>
            <w:r w:rsidR="00044BFF" w:rsidRPr="00F12FCE">
              <w:rPr>
                <w:rFonts w:ascii="Arial" w:hAnsi="Arial" w:cs="Arial"/>
                <w:i/>
                <w:color w:val="002C77"/>
                <w:sz w:val="18"/>
                <w:szCs w:val="18"/>
              </w:rPr>
              <w:t>.</w:t>
            </w:r>
            <w:r>
              <w:rPr>
                <w:rFonts w:ascii="Arial" w:hAnsi="Arial" w:cs="Arial"/>
                <w:i/>
                <w:color w:val="002C77"/>
                <w:sz w:val="18"/>
                <w:szCs w:val="18"/>
              </w:rPr>
              <w:t>0</w:t>
            </w:r>
            <w:r w:rsidR="00044BFF" w:rsidRPr="00F12FCE">
              <w:rPr>
                <w:rFonts w:ascii="Arial" w:hAnsi="Arial" w:cs="Arial"/>
                <w:i/>
                <w:color w:val="002C77"/>
                <w:sz w:val="18"/>
                <w:szCs w:val="18"/>
              </w:rPr>
              <w:t>%)</w:t>
            </w:r>
          </w:p>
        </w:tc>
        <w:tc>
          <w:tcPr>
            <w:tcW w:w="252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41B8D5" w14:textId="77777777" w:rsidR="00007A09" w:rsidRPr="00007A09" w:rsidRDefault="00007A09" w:rsidP="00007A09">
            <w:pPr>
              <w:spacing w:after="120"/>
              <w:rPr>
                <w:rFonts w:ascii="Arial" w:hAnsi="Arial" w:cs="Arial"/>
                <w:b/>
                <w:bCs/>
                <w:color w:val="002C77"/>
                <w:sz w:val="18"/>
                <w:szCs w:val="18"/>
              </w:rPr>
            </w:pPr>
            <w:r w:rsidRPr="00007A09">
              <w:rPr>
                <w:rFonts w:ascii="Arial" w:hAnsi="Arial" w:cs="Arial"/>
                <w:color w:val="002C77"/>
                <w:sz w:val="18"/>
                <w:szCs w:val="18"/>
              </w:rPr>
              <w:t>25/2/2025</w:t>
            </w:r>
            <w:r w:rsidR="00044BFF">
              <w:rPr>
                <w:rFonts w:ascii="Arial" w:hAnsi="Arial" w:cs="Arial"/>
                <w:color w:val="002C77"/>
                <w:sz w:val="18"/>
                <w:szCs w:val="18"/>
              </w:rPr>
              <w:t xml:space="preserve">: </w:t>
            </w:r>
            <w:r w:rsidRPr="00007A09">
              <w:rPr>
                <w:rFonts w:ascii="Arial" w:hAnsi="Arial" w:cs="Arial"/>
                <w:b/>
                <w:bCs/>
                <w:color w:val="002C77"/>
                <w:sz w:val="18"/>
                <w:szCs w:val="18"/>
              </w:rPr>
              <w:t>Shareholder Proposal Regarding Abolishing Inclusion and Diversity Program and Policies</w:t>
            </w:r>
          </w:p>
          <w:p w14:paraId="7F17AF6A" w14:textId="695CAB74" w:rsidR="00044BFF" w:rsidRPr="00007A09" w:rsidRDefault="00007A09" w:rsidP="00007A09">
            <w:pPr>
              <w:spacing w:after="120"/>
              <w:rPr>
                <w:rFonts w:ascii="Arial" w:hAnsi="Arial" w:cs="Arial"/>
                <w:color w:val="002C77"/>
                <w:sz w:val="18"/>
                <w:szCs w:val="18"/>
              </w:rPr>
            </w:pPr>
            <w:r w:rsidRPr="00007A09">
              <w:rPr>
                <w:rFonts w:ascii="Arial" w:hAnsi="Arial" w:cs="Arial"/>
                <w:color w:val="002C77"/>
                <w:sz w:val="18"/>
                <w:szCs w:val="18"/>
              </w:rPr>
              <w:t>(Social)</w:t>
            </w:r>
          </w:p>
        </w:tc>
        <w:tc>
          <w:tcPr>
            <w:tcW w:w="5013"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903653" w14:textId="5FA99679" w:rsidR="00007A09" w:rsidRPr="00007A09" w:rsidRDefault="00007A09" w:rsidP="00007A09">
            <w:pPr>
              <w:spacing w:after="120"/>
              <w:rPr>
                <w:rFonts w:ascii="Arial" w:hAnsi="Arial" w:cs="Arial"/>
                <w:i/>
                <w:color w:val="002C77"/>
                <w:sz w:val="18"/>
                <w:szCs w:val="18"/>
              </w:rPr>
            </w:pPr>
            <w:r w:rsidRPr="00007A09">
              <w:rPr>
                <w:rFonts w:ascii="Arial" w:hAnsi="Arial" w:cs="Arial"/>
                <w:b/>
                <w:bCs/>
                <w:color w:val="002C77"/>
                <w:sz w:val="18"/>
                <w:szCs w:val="18"/>
              </w:rPr>
              <w:t>Against</w:t>
            </w:r>
            <w:r w:rsidR="00044BFF">
              <w:rPr>
                <w:rFonts w:ascii="Arial" w:hAnsi="Arial" w:cs="Arial"/>
                <w:b/>
                <w:bCs/>
                <w:color w:val="002C77"/>
                <w:sz w:val="18"/>
                <w:szCs w:val="18"/>
              </w:rPr>
              <w:t xml:space="preserve"> </w:t>
            </w:r>
          </w:p>
          <w:p w14:paraId="4AB1642D" w14:textId="275BD270" w:rsidR="00044BFF" w:rsidRPr="00007A09" w:rsidRDefault="00007A09" w:rsidP="00007A09">
            <w:pPr>
              <w:spacing w:after="120"/>
              <w:rPr>
                <w:rFonts w:ascii="Arial" w:hAnsi="Arial" w:cs="Arial"/>
                <w:i/>
                <w:color w:val="002C77"/>
                <w:sz w:val="18"/>
                <w:szCs w:val="18"/>
              </w:rPr>
            </w:pPr>
            <w:r w:rsidRPr="00007A09">
              <w:rPr>
                <w:rFonts w:ascii="Arial" w:hAnsi="Arial" w:cs="Arial"/>
                <w:i/>
                <w:color w:val="002C77"/>
                <w:sz w:val="18"/>
                <w:szCs w:val="18"/>
              </w:rPr>
              <w:t>(N/A - While the proponent argues that the company's diversity, equity, and inclusion (DEI) initiatives present litigation risks assessing disclosures it is evident that Apple has strong compliance measures and effective oversight of legal and regulatory risks. Additionally, the company maintains clear non-discrimination policies and aligns its oversight with market standards and there are no known controversies regarding employee discrimination linked to Apple's DEI efforts at the time of the AGM.</w:t>
            </w:r>
            <w:r w:rsidR="00530EBC">
              <w:rPr>
                <w:rFonts w:ascii="Arial" w:hAnsi="Arial" w:cs="Arial"/>
                <w:i/>
                <w:color w:val="002C77"/>
                <w:sz w:val="18"/>
                <w:szCs w:val="18"/>
              </w:rPr>
              <w:t xml:space="preserve"> </w:t>
            </w:r>
            <w:r w:rsidRPr="00007A09">
              <w:rPr>
                <w:rFonts w:ascii="Arial" w:hAnsi="Arial" w:cs="Arial"/>
                <w:i/>
                <w:color w:val="002C77"/>
                <w:sz w:val="18"/>
                <w:szCs w:val="18"/>
              </w:rPr>
              <w:t>Manager therefore did not support this proposal.)</w:t>
            </w:r>
          </w:p>
        </w:tc>
        <w:tc>
          <w:tcPr>
            <w:tcW w:w="4182" w:type="dxa"/>
            <w:tcBorders>
              <w:top w:val="single" w:sz="4" w:space="0" w:color="FFFFFF" w:themeColor="background1"/>
              <w:left w:val="single" w:sz="4" w:space="0" w:color="BFBFBF" w:themeColor="background1" w:themeShade="BF"/>
              <w:bottom w:val="single" w:sz="4" w:space="0" w:color="BFBFBF" w:themeColor="background1" w:themeShade="BF"/>
              <w:right w:val="single" w:sz="8" w:space="0" w:color="BFBFBF"/>
            </w:tcBorders>
            <w:vAlign w:val="center"/>
            <w:hideMark/>
          </w:tcPr>
          <w:p w14:paraId="125CF721" w14:textId="7609F5AD" w:rsidR="00044BFF" w:rsidRPr="00F12FCE" w:rsidRDefault="0035147A" w:rsidP="00A400FD">
            <w:pPr>
              <w:rPr>
                <w:rFonts w:ascii="Arial" w:hAnsi="Arial" w:cs="Arial"/>
                <w:color w:val="FF0000"/>
                <w:sz w:val="18"/>
                <w:szCs w:val="18"/>
              </w:rPr>
            </w:pPr>
            <w:r w:rsidRPr="0035147A">
              <w:rPr>
                <w:rFonts w:ascii="Arial" w:hAnsi="Arial" w:cs="Arial"/>
                <w:b/>
                <w:color w:val="002C77"/>
                <w:sz w:val="18"/>
                <w:szCs w:val="18"/>
              </w:rPr>
              <w:t>2.3% Support</w:t>
            </w:r>
            <w:r w:rsidR="00044BFF">
              <w:rPr>
                <w:rFonts w:ascii="Arial" w:hAnsi="Arial" w:cs="Arial"/>
                <w:color w:val="002C77"/>
                <w:sz w:val="18"/>
                <w:szCs w:val="18"/>
              </w:rPr>
              <w:br/>
            </w:r>
            <w:r w:rsidRPr="0035147A">
              <w:rPr>
                <w:rFonts w:ascii="Arial" w:hAnsi="Arial" w:cs="Arial"/>
                <w:color w:val="002C77"/>
                <w:sz w:val="18"/>
                <w:szCs w:val="18"/>
              </w:rPr>
              <w:t>Proposal did not pass.</w:t>
            </w:r>
          </w:p>
          <w:p w14:paraId="13816C3B" w14:textId="1F9E9AC1" w:rsidR="00044BFF" w:rsidRPr="00F12FCE" w:rsidRDefault="0035147A" w:rsidP="00F24D4B">
            <w:pPr>
              <w:spacing w:after="120"/>
              <w:rPr>
                <w:rFonts w:ascii="Arial" w:hAnsi="Arial" w:cs="Arial"/>
                <w:i/>
                <w:color w:val="002C77"/>
                <w:sz w:val="18"/>
                <w:szCs w:val="18"/>
              </w:rPr>
            </w:pPr>
            <w:r w:rsidRPr="0035147A">
              <w:rPr>
                <w:rFonts w:ascii="Arial" w:hAnsi="Arial" w:cs="Arial"/>
                <w:i/>
                <w:color w:val="002C77"/>
                <w:sz w:val="18"/>
                <w:szCs w:val="18"/>
              </w:rPr>
              <w:t>(Manager will continue to develop its Global Proxy Voting Guidelines and exercise voting rights to reduce portfolio risk and promote sustainable long-term outcomes, despite the contentious nature of DEI this proxy season.)</w:t>
            </w:r>
          </w:p>
        </w:tc>
      </w:tr>
      <w:tr w:rsidR="007B4BA9" w14:paraId="336EDD19" w14:textId="77777777" w:rsidTr="00F02189">
        <w:trPr>
          <w:trHeight w:val="1740"/>
        </w:trPr>
        <w:tc>
          <w:tcPr>
            <w:tcW w:w="1387" w:type="dxa"/>
            <w:vMerge/>
            <w:tcBorders>
              <w:top w:val="nil"/>
              <w:left w:val="single" w:sz="8" w:space="0" w:color="BFBFBF"/>
              <w:bottom w:val="single" w:sz="8" w:space="0" w:color="BFBFBF"/>
              <w:right w:val="nil"/>
            </w:tcBorders>
            <w:shd w:val="clear" w:color="auto" w:fill="F2F2F2" w:themeFill="background1" w:themeFillShade="F2"/>
            <w:vAlign w:val="center"/>
            <w:hideMark/>
          </w:tcPr>
          <w:p w14:paraId="17991625" w14:textId="77777777" w:rsidR="00044BFF" w:rsidRDefault="00044BFF" w:rsidP="00A400FD">
            <w:pPr>
              <w:rPr>
                <w:rFonts w:ascii="Arial" w:hAnsi="Arial" w:cs="Arial"/>
                <w:b/>
                <w:bCs/>
                <w:color w:val="002C77"/>
                <w:sz w:val="18"/>
                <w:szCs w:val="18"/>
              </w:rPr>
            </w:pPr>
          </w:p>
        </w:tc>
        <w:tc>
          <w:tcPr>
            <w:tcW w:w="177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6F345C2" w14:textId="7ACFAB80" w:rsidR="00044BFF" w:rsidRPr="007A062C" w:rsidRDefault="0035147A" w:rsidP="00A400FD">
            <w:pPr>
              <w:rPr>
                <w:rFonts w:ascii="Arial" w:hAnsi="Arial" w:cs="Arial"/>
                <w:b/>
                <w:color w:val="002C77"/>
                <w:sz w:val="18"/>
                <w:szCs w:val="18"/>
              </w:rPr>
            </w:pPr>
            <w:r w:rsidRPr="0035147A">
              <w:rPr>
                <w:rFonts w:ascii="Arial" w:hAnsi="Arial" w:cs="Arial"/>
                <w:b/>
                <w:color w:val="002C77"/>
                <w:sz w:val="18"/>
                <w:szCs w:val="18"/>
              </w:rPr>
              <w:t>Microsoft Corporation</w:t>
            </w:r>
            <w:r w:rsidR="00044BFF">
              <w:rPr>
                <w:rFonts w:ascii="Arial" w:hAnsi="Arial" w:cs="Arial"/>
                <w:b/>
                <w:color w:val="002C77"/>
                <w:sz w:val="18"/>
                <w:szCs w:val="18"/>
              </w:rPr>
              <w:br/>
            </w:r>
            <w:r w:rsidR="00044BFF" w:rsidRPr="00395B35">
              <w:rPr>
                <w:rFonts w:ascii="Arial" w:hAnsi="Arial" w:cs="Arial"/>
                <w:i/>
                <w:color w:val="002C77"/>
                <w:sz w:val="18"/>
                <w:szCs w:val="18"/>
              </w:rPr>
              <w:t>(</w:t>
            </w:r>
            <w:r>
              <w:rPr>
                <w:rFonts w:ascii="Arial" w:hAnsi="Arial" w:cs="Arial"/>
                <w:i/>
                <w:color w:val="002C77"/>
                <w:sz w:val="18"/>
                <w:szCs w:val="18"/>
              </w:rPr>
              <w:t>4</w:t>
            </w:r>
            <w:r w:rsidR="00044BFF" w:rsidRPr="00395B35">
              <w:rPr>
                <w:rFonts w:ascii="Arial" w:hAnsi="Arial" w:cs="Arial"/>
                <w:i/>
                <w:color w:val="002C77"/>
                <w:sz w:val="18"/>
                <w:szCs w:val="18"/>
              </w:rPr>
              <w:t>.</w:t>
            </w:r>
            <w:r>
              <w:rPr>
                <w:rFonts w:ascii="Arial" w:hAnsi="Arial" w:cs="Arial"/>
                <w:i/>
                <w:color w:val="002C77"/>
                <w:sz w:val="18"/>
                <w:szCs w:val="18"/>
              </w:rPr>
              <w:t>4</w:t>
            </w:r>
            <w:r w:rsidR="00044BFF" w:rsidRPr="00395B35">
              <w:rPr>
                <w:rFonts w:ascii="Arial" w:hAnsi="Arial" w:cs="Arial"/>
                <w:i/>
                <w:color w:val="002C77"/>
                <w:sz w:val="18"/>
                <w:szCs w:val="18"/>
              </w:rPr>
              <w:t>%)</w:t>
            </w: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C805C9" w14:textId="36820652" w:rsidR="00044BFF" w:rsidRDefault="0035147A" w:rsidP="00A400FD">
            <w:pPr>
              <w:rPr>
                <w:rFonts w:ascii="Arial" w:hAnsi="Arial" w:cs="Arial"/>
                <w:color w:val="002C77"/>
                <w:sz w:val="18"/>
                <w:szCs w:val="18"/>
              </w:rPr>
            </w:pPr>
            <w:r w:rsidRPr="0035147A">
              <w:rPr>
                <w:rFonts w:ascii="Arial" w:hAnsi="Arial" w:cs="Arial"/>
                <w:color w:val="002C77"/>
                <w:sz w:val="18"/>
                <w:szCs w:val="18"/>
              </w:rPr>
              <w:t>10/12/2024</w:t>
            </w:r>
            <w:r w:rsidR="00044BFF">
              <w:rPr>
                <w:rFonts w:ascii="Arial" w:hAnsi="Arial" w:cs="Arial"/>
                <w:color w:val="002C77"/>
                <w:sz w:val="18"/>
                <w:szCs w:val="18"/>
              </w:rPr>
              <w:t xml:space="preserve">: </w:t>
            </w:r>
            <w:r w:rsidRPr="0035147A">
              <w:rPr>
                <w:rFonts w:ascii="Arial" w:hAnsi="Arial" w:cs="Arial"/>
                <w:b/>
                <w:bCs/>
                <w:color w:val="002C77"/>
                <w:sz w:val="18"/>
                <w:szCs w:val="18"/>
              </w:rPr>
              <w:t xml:space="preserve">Shareholder Proposal Regarding Report on Risks of Providing AI to Facilitate New Oil and Gas Development and Production </w:t>
            </w:r>
            <w:r>
              <w:rPr>
                <w:rFonts w:ascii="Arial" w:hAnsi="Arial" w:cs="Arial"/>
                <w:b/>
                <w:bCs/>
                <w:color w:val="002C77"/>
                <w:sz w:val="18"/>
                <w:szCs w:val="18"/>
              </w:rPr>
              <w:br/>
            </w:r>
            <w:r>
              <w:rPr>
                <w:rFonts w:ascii="Arial" w:hAnsi="Arial" w:cs="Arial"/>
                <w:b/>
                <w:bCs/>
                <w:iCs/>
                <w:color w:val="002C77"/>
                <w:sz w:val="18"/>
                <w:szCs w:val="18"/>
              </w:rPr>
              <w:br/>
            </w:r>
            <w:r w:rsidR="00044BFF">
              <w:rPr>
                <w:rFonts w:ascii="Arial" w:hAnsi="Arial" w:cs="Arial"/>
                <w:i/>
                <w:iCs/>
                <w:color w:val="002C77"/>
                <w:sz w:val="18"/>
                <w:szCs w:val="18"/>
              </w:rPr>
              <w:t>(Environmental)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2AF7C" w14:textId="23597723" w:rsidR="00044BFF" w:rsidRDefault="00044BFF" w:rsidP="00A400FD">
            <w:pPr>
              <w:rPr>
                <w:rFonts w:ascii="Arial" w:hAnsi="Arial" w:cs="Arial"/>
                <w:b/>
                <w:bCs/>
                <w:color w:val="002C77"/>
                <w:sz w:val="18"/>
                <w:szCs w:val="18"/>
              </w:rPr>
            </w:pPr>
            <w:r>
              <w:rPr>
                <w:rFonts w:ascii="Arial" w:hAnsi="Arial" w:cs="Arial"/>
                <w:b/>
                <w:bCs/>
                <w:color w:val="002C77"/>
                <w:sz w:val="18"/>
                <w:szCs w:val="18"/>
              </w:rPr>
              <w:t xml:space="preserve">For </w:t>
            </w:r>
            <w:r>
              <w:rPr>
                <w:rFonts w:ascii="Arial" w:hAnsi="Arial" w:cs="Arial"/>
                <w:b/>
                <w:bCs/>
                <w:color w:val="002C77"/>
                <w:sz w:val="18"/>
                <w:szCs w:val="18"/>
              </w:rPr>
              <w:br/>
            </w:r>
            <w:r w:rsidR="0035147A" w:rsidRPr="0035147A">
              <w:rPr>
                <w:rFonts w:ascii="Arial" w:hAnsi="Arial" w:cs="Arial"/>
                <w:i/>
                <w:color w:val="002C77"/>
                <w:sz w:val="18"/>
                <w:szCs w:val="18"/>
              </w:rPr>
              <w:t>(No - A vote FOR this proposal is warranted, as shareholders would benefit from additional disclosure related to the potential risks associated with the use of the company's artificial intelligence and machine learning tools for new oil and gas development and production.)</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hideMark/>
          </w:tcPr>
          <w:p w14:paraId="2F5F67C3" w14:textId="77777777" w:rsidR="0035147A" w:rsidRPr="0035147A" w:rsidRDefault="0035147A" w:rsidP="0035147A">
            <w:pPr>
              <w:rPr>
                <w:rFonts w:ascii="Arial" w:hAnsi="Arial" w:cs="Arial"/>
                <w:color w:val="002C77"/>
                <w:sz w:val="18"/>
                <w:szCs w:val="18"/>
              </w:rPr>
            </w:pPr>
            <w:r w:rsidRPr="0035147A">
              <w:rPr>
                <w:rFonts w:ascii="Arial" w:hAnsi="Arial" w:cs="Arial"/>
                <w:b/>
                <w:color w:val="002C77"/>
                <w:sz w:val="18"/>
                <w:szCs w:val="18"/>
              </w:rPr>
              <w:t>9.7% Support</w:t>
            </w:r>
            <w:r w:rsidR="00044BFF">
              <w:rPr>
                <w:rFonts w:ascii="Arial" w:hAnsi="Arial" w:cs="Arial"/>
                <w:color w:val="002C77"/>
                <w:sz w:val="18"/>
                <w:szCs w:val="18"/>
              </w:rPr>
              <w:br/>
            </w:r>
            <w:r w:rsidRPr="0035147A">
              <w:rPr>
                <w:rFonts w:ascii="Arial" w:hAnsi="Arial" w:cs="Arial"/>
                <w:color w:val="002C77"/>
                <w:sz w:val="18"/>
                <w:szCs w:val="18"/>
              </w:rPr>
              <w:t xml:space="preserve">Proposal did not pass. </w:t>
            </w:r>
          </w:p>
          <w:p w14:paraId="1F62FC1E" w14:textId="7A1C7D4D" w:rsidR="00044BFF" w:rsidRDefault="0035147A" w:rsidP="0035147A">
            <w:pPr>
              <w:rPr>
                <w:rFonts w:ascii="Arial" w:hAnsi="Arial" w:cs="Arial"/>
                <w:color w:val="002C77"/>
                <w:sz w:val="18"/>
                <w:szCs w:val="18"/>
              </w:rPr>
            </w:pPr>
            <w:r w:rsidRPr="0035147A">
              <w:rPr>
                <w:rFonts w:ascii="Arial" w:hAnsi="Arial" w:cs="Arial"/>
                <w:color w:val="002C77"/>
                <w:sz w:val="18"/>
                <w:szCs w:val="18"/>
              </w:rPr>
              <w:t>(Manager engages with Microsoft on the topic of Net Zero, deployment of advanced technology for the fossil fuel industry exposes it to material reputational, competitive, and operational risk. Manager intends to continue to monitor the company's progress on the topic or any potential amendments.)</w:t>
            </w:r>
          </w:p>
        </w:tc>
      </w:tr>
      <w:tr w:rsidR="007B4BA9" w14:paraId="3DD4BB9B" w14:textId="77777777" w:rsidTr="00F02189">
        <w:trPr>
          <w:trHeight w:val="405"/>
        </w:trPr>
        <w:tc>
          <w:tcPr>
            <w:tcW w:w="1387" w:type="dxa"/>
            <w:vAlign w:val="center"/>
          </w:tcPr>
          <w:p w14:paraId="45019CEB" w14:textId="77777777" w:rsidR="007B4BA9" w:rsidRDefault="007B4BA9" w:rsidP="00A400FD">
            <w:pPr>
              <w:rPr>
                <w:rFonts w:ascii="Arial" w:hAnsi="Arial" w:cs="Arial"/>
                <w:b/>
                <w:bCs/>
                <w:color w:val="FFFFFF"/>
                <w:sz w:val="18"/>
                <w:szCs w:val="18"/>
              </w:rPr>
            </w:pPr>
          </w:p>
        </w:tc>
        <w:tc>
          <w:tcPr>
            <w:tcW w:w="1778" w:type="dxa"/>
            <w:tcBorders>
              <w:top w:val="single" w:sz="4" w:space="0" w:color="BFBFBF" w:themeColor="background1" w:themeShade="BF"/>
            </w:tcBorders>
            <w:vAlign w:val="center"/>
          </w:tcPr>
          <w:p w14:paraId="69EDCF0A" w14:textId="77777777" w:rsidR="007B4BA9" w:rsidRDefault="007B4BA9" w:rsidP="00A400FD">
            <w:pPr>
              <w:rPr>
                <w:rFonts w:ascii="Arial" w:hAnsi="Arial" w:cs="Arial"/>
                <w:b/>
                <w:bCs/>
                <w:color w:val="FFFFFF"/>
                <w:sz w:val="18"/>
                <w:szCs w:val="18"/>
              </w:rPr>
            </w:pPr>
          </w:p>
        </w:tc>
        <w:tc>
          <w:tcPr>
            <w:tcW w:w="2524" w:type="dxa"/>
            <w:tcBorders>
              <w:top w:val="single" w:sz="4" w:space="0" w:color="BFBFBF" w:themeColor="background1" w:themeShade="BF"/>
            </w:tcBorders>
            <w:vAlign w:val="center"/>
          </w:tcPr>
          <w:p w14:paraId="632CB382" w14:textId="77777777" w:rsidR="007B4BA9" w:rsidRDefault="007B4BA9" w:rsidP="00A400FD">
            <w:pPr>
              <w:rPr>
                <w:rFonts w:ascii="Arial" w:hAnsi="Arial" w:cs="Arial"/>
                <w:b/>
                <w:bCs/>
                <w:color w:val="FFFFFF"/>
                <w:sz w:val="18"/>
                <w:szCs w:val="18"/>
              </w:rPr>
            </w:pPr>
          </w:p>
        </w:tc>
        <w:tc>
          <w:tcPr>
            <w:tcW w:w="5013" w:type="dxa"/>
            <w:tcBorders>
              <w:top w:val="single" w:sz="4" w:space="0" w:color="BFBFBF" w:themeColor="background1" w:themeShade="BF"/>
            </w:tcBorders>
            <w:vAlign w:val="center"/>
          </w:tcPr>
          <w:p w14:paraId="1142BBC7" w14:textId="77777777" w:rsidR="007B4BA9" w:rsidRDefault="007B4BA9" w:rsidP="00A400FD">
            <w:pPr>
              <w:rPr>
                <w:rFonts w:ascii="Arial" w:hAnsi="Arial" w:cs="Arial"/>
                <w:b/>
                <w:bCs/>
                <w:color w:val="FFFFFF"/>
                <w:sz w:val="18"/>
                <w:szCs w:val="18"/>
              </w:rPr>
            </w:pPr>
          </w:p>
          <w:p w14:paraId="2C3BDD4C" w14:textId="77777777" w:rsidR="007B4BA9" w:rsidRDefault="007B4BA9" w:rsidP="00A400FD">
            <w:pPr>
              <w:rPr>
                <w:rFonts w:ascii="Arial" w:hAnsi="Arial" w:cs="Arial"/>
                <w:b/>
                <w:bCs/>
                <w:color w:val="FFFFFF"/>
                <w:sz w:val="18"/>
                <w:szCs w:val="18"/>
              </w:rPr>
            </w:pPr>
          </w:p>
          <w:p w14:paraId="44EF6C40" w14:textId="77777777" w:rsidR="007B4BA9" w:rsidRDefault="007B4BA9" w:rsidP="00A400FD">
            <w:pPr>
              <w:rPr>
                <w:rFonts w:ascii="Arial" w:hAnsi="Arial" w:cs="Arial"/>
                <w:b/>
                <w:bCs/>
                <w:color w:val="FFFFFF"/>
                <w:sz w:val="18"/>
                <w:szCs w:val="18"/>
              </w:rPr>
            </w:pPr>
          </w:p>
        </w:tc>
        <w:tc>
          <w:tcPr>
            <w:tcW w:w="4182" w:type="dxa"/>
            <w:tcBorders>
              <w:top w:val="single" w:sz="4" w:space="0" w:color="BFBFBF" w:themeColor="background1" w:themeShade="BF"/>
            </w:tcBorders>
            <w:vAlign w:val="center"/>
          </w:tcPr>
          <w:p w14:paraId="3018ADEA" w14:textId="77777777" w:rsidR="007B4BA9" w:rsidRDefault="007B4BA9" w:rsidP="00A400FD">
            <w:pPr>
              <w:rPr>
                <w:rFonts w:ascii="Arial" w:hAnsi="Arial" w:cs="Arial"/>
                <w:b/>
                <w:bCs/>
                <w:color w:val="FFFFFF"/>
                <w:sz w:val="18"/>
                <w:szCs w:val="18"/>
              </w:rPr>
            </w:pPr>
          </w:p>
        </w:tc>
      </w:tr>
      <w:tr w:rsidR="007B4BA9" w14:paraId="32DD6BE3" w14:textId="77777777" w:rsidTr="00F02189">
        <w:trPr>
          <w:trHeight w:val="405"/>
        </w:trPr>
        <w:tc>
          <w:tcPr>
            <w:tcW w:w="1387" w:type="dxa"/>
            <w:tcBorders>
              <w:left w:val="single" w:sz="8" w:space="0" w:color="BFBFBF"/>
              <w:bottom w:val="single" w:sz="4" w:space="0" w:color="FFFFFF" w:themeColor="background1"/>
              <w:right w:val="single" w:sz="4" w:space="0" w:color="FFFFFF" w:themeColor="background1"/>
            </w:tcBorders>
            <w:shd w:val="clear" w:color="auto" w:fill="00B0F0"/>
            <w:vAlign w:val="center"/>
          </w:tcPr>
          <w:p w14:paraId="3460C186"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Fund</w:t>
            </w:r>
          </w:p>
        </w:tc>
        <w:tc>
          <w:tcPr>
            <w:tcW w:w="1778" w:type="dxa"/>
            <w:tcBorders>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7EECFD0E" w14:textId="77777777" w:rsidR="00044BFF" w:rsidRPr="00F12FCE" w:rsidRDefault="00044BFF" w:rsidP="00A400FD">
            <w:pPr>
              <w:rPr>
                <w:rFonts w:ascii="Arial" w:hAnsi="Arial" w:cs="Arial"/>
                <w:b/>
                <w:color w:val="002C77"/>
                <w:sz w:val="18"/>
                <w:szCs w:val="18"/>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524" w:type="dxa"/>
            <w:tcBorders>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64B50655"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 xml:space="preserve">Meeting Date -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5013" w:type="dxa"/>
            <w:tcBorders>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FC0DBA6"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(Communication of vote against management - Rationale if available)</w:t>
            </w:r>
          </w:p>
        </w:tc>
        <w:tc>
          <w:tcPr>
            <w:tcW w:w="4182" w:type="dxa"/>
            <w:tcBorders>
              <w:left w:val="single" w:sz="4" w:space="0" w:color="FFFFFF" w:themeColor="background1"/>
              <w:bottom w:val="single" w:sz="4" w:space="0" w:color="FFFFFF" w:themeColor="background1"/>
              <w:right w:val="single" w:sz="8" w:space="0" w:color="BFBFBF"/>
            </w:tcBorders>
            <w:shd w:val="clear" w:color="auto" w:fill="00B0F0"/>
            <w:vAlign w:val="center"/>
          </w:tcPr>
          <w:p w14:paraId="74B730F0"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if available)</w:t>
            </w:r>
          </w:p>
        </w:tc>
      </w:tr>
      <w:tr w:rsidR="007B4BA9" w14:paraId="16434D98" w14:textId="77777777" w:rsidTr="00F2442E">
        <w:trPr>
          <w:trHeight w:val="1597"/>
        </w:trPr>
        <w:tc>
          <w:tcPr>
            <w:tcW w:w="1387" w:type="dxa"/>
            <w:vMerge w:val="restart"/>
            <w:tcBorders>
              <w:top w:val="single" w:sz="4" w:space="0" w:color="FFFFFF" w:themeColor="background1"/>
              <w:left w:val="single" w:sz="8" w:space="0" w:color="BFBFBF"/>
              <w:bottom w:val="single" w:sz="8" w:space="0" w:color="BFBFBF"/>
              <w:right w:val="nil"/>
            </w:tcBorders>
            <w:shd w:val="clear" w:color="auto" w:fill="F2F2F2" w:themeFill="background1" w:themeFillShade="F2"/>
            <w:vAlign w:val="center"/>
            <w:hideMark/>
          </w:tcPr>
          <w:p w14:paraId="7380B150" w14:textId="39432482" w:rsidR="00044BFF" w:rsidRDefault="0035147A" w:rsidP="00A400FD">
            <w:pPr>
              <w:rPr>
                <w:rFonts w:ascii="Arial" w:hAnsi="Arial" w:cs="Arial"/>
                <w:b/>
                <w:bCs/>
                <w:color w:val="002C77"/>
                <w:sz w:val="18"/>
                <w:szCs w:val="18"/>
              </w:rPr>
            </w:pPr>
            <w:r w:rsidRPr="0035147A">
              <w:rPr>
                <w:rFonts w:ascii="Arial" w:hAnsi="Arial" w:cs="Arial"/>
                <w:b/>
                <w:bCs/>
                <w:color w:val="002C77"/>
                <w:sz w:val="18"/>
                <w:szCs w:val="18"/>
              </w:rPr>
              <w:t>Mercer Passive Global Equity Fund</w:t>
            </w:r>
          </w:p>
        </w:tc>
        <w:tc>
          <w:tcPr>
            <w:tcW w:w="1778" w:type="dxa"/>
            <w:tcBorders>
              <w:top w:val="single" w:sz="4" w:space="0" w:color="FFFFFF" w:themeColor="background1"/>
              <w:left w:val="nil"/>
              <w:bottom w:val="single" w:sz="4" w:space="0" w:color="BFBFBF" w:themeColor="background1" w:themeShade="BF"/>
              <w:right w:val="single" w:sz="4" w:space="0" w:color="BFBFBF" w:themeColor="background1" w:themeShade="BF"/>
            </w:tcBorders>
            <w:vAlign w:val="center"/>
            <w:hideMark/>
          </w:tcPr>
          <w:p w14:paraId="2B1F3FB4" w14:textId="496E8434" w:rsidR="00044BFF" w:rsidRDefault="0035147A" w:rsidP="00A400FD">
            <w:pPr>
              <w:rPr>
                <w:rFonts w:ascii="Arial" w:hAnsi="Arial" w:cs="Arial"/>
                <w:color w:val="002C77"/>
                <w:sz w:val="18"/>
                <w:szCs w:val="18"/>
              </w:rPr>
            </w:pPr>
            <w:r w:rsidRPr="0035147A">
              <w:rPr>
                <w:rFonts w:ascii="Arial" w:hAnsi="Arial" w:cs="Arial"/>
                <w:b/>
                <w:color w:val="002C77"/>
                <w:sz w:val="18"/>
                <w:szCs w:val="18"/>
              </w:rPr>
              <w:t>Apple Inc</w:t>
            </w:r>
            <w:r w:rsidR="00044BFF" w:rsidRPr="00F12FCE">
              <w:rPr>
                <w:rFonts w:ascii="Arial" w:hAnsi="Arial" w:cs="Arial"/>
                <w:b/>
                <w:color w:val="002C77"/>
                <w:sz w:val="18"/>
                <w:szCs w:val="18"/>
              </w:rPr>
              <w:br/>
            </w:r>
            <w:r w:rsidR="00044BFF" w:rsidRPr="00F12FCE">
              <w:rPr>
                <w:rFonts w:ascii="Arial" w:hAnsi="Arial" w:cs="Arial"/>
                <w:i/>
                <w:color w:val="002C77"/>
                <w:sz w:val="18"/>
                <w:szCs w:val="18"/>
              </w:rPr>
              <w:t>(</w:t>
            </w:r>
            <w:r>
              <w:rPr>
                <w:rFonts w:ascii="Arial" w:hAnsi="Arial" w:cs="Arial"/>
                <w:i/>
                <w:color w:val="002C77"/>
                <w:sz w:val="18"/>
                <w:szCs w:val="18"/>
              </w:rPr>
              <w:t>5</w:t>
            </w:r>
            <w:r w:rsidR="00044BFF" w:rsidRPr="00F12FCE">
              <w:rPr>
                <w:rFonts w:ascii="Arial" w:hAnsi="Arial" w:cs="Arial"/>
                <w:i/>
                <w:color w:val="002C77"/>
                <w:sz w:val="18"/>
                <w:szCs w:val="18"/>
              </w:rPr>
              <w:t>.</w:t>
            </w:r>
            <w:r>
              <w:rPr>
                <w:rFonts w:ascii="Arial" w:hAnsi="Arial" w:cs="Arial"/>
                <w:i/>
                <w:color w:val="002C77"/>
                <w:sz w:val="18"/>
                <w:szCs w:val="18"/>
              </w:rPr>
              <w:t>1</w:t>
            </w:r>
            <w:r w:rsidR="00044BFF" w:rsidRPr="00F12FCE">
              <w:rPr>
                <w:rFonts w:ascii="Arial" w:hAnsi="Arial" w:cs="Arial"/>
                <w:i/>
                <w:color w:val="002C77"/>
                <w:sz w:val="18"/>
                <w:szCs w:val="18"/>
              </w:rPr>
              <w:t>%)</w:t>
            </w:r>
          </w:p>
        </w:tc>
        <w:tc>
          <w:tcPr>
            <w:tcW w:w="252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DB96C2" w14:textId="6CCC9919" w:rsidR="00044BFF" w:rsidRDefault="0035147A" w:rsidP="00A400FD">
            <w:pPr>
              <w:rPr>
                <w:rFonts w:ascii="Arial" w:hAnsi="Arial" w:cs="Arial"/>
                <w:color w:val="002C77"/>
                <w:sz w:val="18"/>
                <w:szCs w:val="18"/>
              </w:rPr>
            </w:pPr>
            <w:r w:rsidRPr="0035147A">
              <w:rPr>
                <w:rFonts w:ascii="Arial" w:hAnsi="Arial" w:cs="Arial"/>
                <w:color w:val="002C77"/>
                <w:sz w:val="18"/>
                <w:szCs w:val="18"/>
              </w:rPr>
              <w:t>25/2/2025</w:t>
            </w:r>
            <w:r w:rsidR="00044BFF">
              <w:rPr>
                <w:rFonts w:ascii="Arial" w:hAnsi="Arial" w:cs="Arial"/>
                <w:color w:val="002C77"/>
                <w:sz w:val="18"/>
                <w:szCs w:val="18"/>
              </w:rPr>
              <w:t xml:space="preserve">: </w:t>
            </w:r>
            <w:r w:rsidRPr="0035147A">
              <w:rPr>
                <w:rFonts w:ascii="Arial" w:hAnsi="Arial" w:cs="Arial"/>
                <w:b/>
                <w:bCs/>
                <w:color w:val="002C77"/>
                <w:sz w:val="18"/>
                <w:szCs w:val="18"/>
              </w:rPr>
              <w:t>Shareholder Proposal Regarding Abolishing Inclusion and Diversity Program and Policies</w:t>
            </w:r>
            <w:r w:rsidR="00044BFF">
              <w:rPr>
                <w:rFonts w:ascii="Arial" w:hAnsi="Arial" w:cs="Arial"/>
                <w:color w:val="002C77"/>
                <w:sz w:val="18"/>
                <w:szCs w:val="18"/>
              </w:rPr>
              <w:br/>
            </w:r>
            <w:r w:rsidR="00044BFF" w:rsidRPr="00D207B2">
              <w:rPr>
                <w:rFonts w:ascii="Arial" w:hAnsi="Arial" w:cs="Arial"/>
                <w:i/>
                <w:iCs/>
                <w:color w:val="002C77"/>
                <w:sz w:val="18"/>
                <w:szCs w:val="18"/>
              </w:rPr>
              <w:t>(</w:t>
            </w:r>
            <w:r>
              <w:rPr>
                <w:rFonts w:ascii="Arial" w:hAnsi="Arial" w:cs="Arial"/>
                <w:i/>
                <w:iCs/>
                <w:color w:val="002C77"/>
                <w:sz w:val="18"/>
                <w:szCs w:val="18"/>
              </w:rPr>
              <w:t>Social</w:t>
            </w:r>
            <w:r w:rsidR="00044BFF">
              <w:rPr>
                <w:rFonts w:ascii="Arial" w:hAnsi="Arial" w:cs="Arial"/>
                <w:i/>
                <w:iCs/>
                <w:color w:val="002C77"/>
                <w:sz w:val="18"/>
                <w:szCs w:val="18"/>
              </w:rPr>
              <w:t>)</w:t>
            </w:r>
          </w:p>
        </w:tc>
        <w:tc>
          <w:tcPr>
            <w:tcW w:w="5013"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37D6C" w14:textId="1C1590A6" w:rsidR="00044BFF" w:rsidRDefault="0035147A" w:rsidP="00A400FD">
            <w:pPr>
              <w:rPr>
                <w:rFonts w:ascii="Arial" w:hAnsi="Arial" w:cs="Arial"/>
                <w:b/>
                <w:bCs/>
                <w:color w:val="002C77"/>
                <w:sz w:val="18"/>
                <w:szCs w:val="18"/>
              </w:rPr>
            </w:pPr>
            <w:r w:rsidRPr="0035147A">
              <w:rPr>
                <w:rFonts w:ascii="Arial" w:hAnsi="Arial" w:cs="Arial"/>
                <w:b/>
                <w:bCs/>
                <w:color w:val="002C77"/>
                <w:sz w:val="18"/>
                <w:szCs w:val="18"/>
              </w:rPr>
              <w:t>Against</w:t>
            </w:r>
            <w:r w:rsidR="00044BFF">
              <w:rPr>
                <w:rFonts w:ascii="Arial" w:hAnsi="Arial" w:cs="Arial"/>
                <w:b/>
                <w:bCs/>
                <w:color w:val="002C77"/>
                <w:sz w:val="18"/>
                <w:szCs w:val="18"/>
              </w:rPr>
              <w:br/>
            </w:r>
            <w:r w:rsidR="00044BFF" w:rsidRPr="00127E00">
              <w:rPr>
                <w:rFonts w:ascii="Arial" w:hAnsi="Arial" w:cs="Arial"/>
                <w:i/>
                <w:color w:val="002C77"/>
                <w:sz w:val="18"/>
                <w:szCs w:val="18"/>
              </w:rPr>
              <w:t>(</w:t>
            </w:r>
            <w:r w:rsidRPr="0035147A">
              <w:rPr>
                <w:rFonts w:ascii="Arial" w:hAnsi="Arial" w:cs="Arial"/>
                <w:i/>
                <w:color w:val="002C77"/>
                <w:sz w:val="18"/>
                <w:szCs w:val="18"/>
              </w:rPr>
              <w:t>No - The proposal did not merit support as the company's disclosures pertaining to the item are reasonable.)</w:t>
            </w:r>
          </w:p>
        </w:tc>
        <w:tc>
          <w:tcPr>
            <w:tcW w:w="4182" w:type="dxa"/>
            <w:tcBorders>
              <w:top w:val="single" w:sz="4" w:space="0" w:color="FFFFFF" w:themeColor="background1"/>
              <w:left w:val="single" w:sz="4" w:space="0" w:color="BFBFBF" w:themeColor="background1" w:themeShade="BF"/>
              <w:bottom w:val="single" w:sz="4" w:space="0" w:color="BFBFBF" w:themeColor="background1" w:themeShade="BF"/>
              <w:right w:val="single" w:sz="8" w:space="0" w:color="BFBFBF"/>
            </w:tcBorders>
            <w:vAlign w:val="center"/>
            <w:hideMark/>
          </w:tcPr>
          <w:p w14:paraId="1D9FAA7E" w14:textId="616010E8" w:rsidR="0035147A" w:rsidRPr="0035147A" w:rsidRDefault="0035147A" w:rsidP="0035147A">
            <w:pPr>
              <w:rPr>
                <w:rFonts w:ascii="Arial" w:hAnsi="Arial" w:cs="Arial"/>
                <w:i/>
                <w:color w:val="002C77"/>
                <w:sz w:val="18"/>
                <w:szCs w:val="18"/>
              </w:rPr>
            </w:pPr>
            <w:r w:rsidRPr="0035147A">
              <w:rPr>
                <w:rFonts w:ascii="Arial" w:hAnsi="Arial" w:cs="Arial"/>
                <w:b/>
                <w:color w:val="002C77"/>
                <w:sz w:val="18"/>
                <w:szCs w:val="18"/>
              </w:rPr>
              <w:t>2.3% Support</w:t>
            </w:r>
            <w:r w:rsidR="00044BFF" w:rsidRPr="00127E00">
              <w:rPr>
                <w:rFonts w:ascii="Arial" w:hAnsi="Arial" w:cs="Arial"/>
                <w:b/>
                <w:color w:val="002C77"/>
                <w:sz w:val="18"/>
                <w:szCs w:val="18"/>
              </w:rPr>
              <w:t xml:space="preserve"> </w:t>
            </w:r>
            <w:r w:rsidR="00044BFF">
              <w:rPr>
                <w:rFonts w:ascii="Arial" w:hAnsi="Arial" w:cs="Arial"/>
                <w:color w:val="002C77"/>
                <w:sz w:val="18"/>
                <w:szCs w:val="18"/>
              </w:rPr>
              <w:br/>
            </w:r>
            <w:r w:rsidRPr="0035147A">
              <w:rPr>
                <w:rFonts w:ascii="Arial" w:hAnsi="Arial" w:cs="Arial"/>
                <w:i/>
                <w:color w:val="002C77"/>
                <w:sz w:val="18"/>
                <w:szCs w:val="18"/>
              </w:rPr>
              <w:t xml:space="preserve">Proposal did not pass. </w:t>
            </w:r>
          </w:p>
          <w:p w14:paraId="115F761F" w14:textId="2E11DF81" w:rsidR="00044BFF" w:rsidRDefault="0035147A" w:rsidP="0035147A">
            <w:pPr>
              <w:rPr>
                <w:rFonts w:ascii="Arial" w:hAnsi="Arial" w:cs="Arial"/>
                <w:color w:val="002C77"/>
                <w:sz w:val="18"/>
                <w:szCs w:val="18"/>
              </w:rPr>
            </w:pPr>
            <w:r w:rsidRPr="0035147A">
              <w:rPr>
                <w:rFonts w:ascii="Arial" w:hAnsi="Arial" w:cs="Arial"/>
                <w:i/>
                <w:color w:val="002C77"/>
                <w:sz w:val="18"/>
                <w:szCs w:val="18"/>
              </w:rPr>
              <w:t>(Manager will continue</w:t>
            </w:r>
            <w:r w:rsidR="00325F46">
              <w:rPr>
                <w:rFonts w:ascii="Arial" w:hAnsi="Arial" w:cs="Arial"/>
                <w:i/>
                <w:color w:val="002C77"/>
                <w:sz w:val="18"/>
                <w:szCs w:val="18"/>
              </w:rPr>
              <w:t xml:space="preserve"> to have</w:t>
            </w:r>
            <w:r w:rsidRPr="0035147A">
              <w:rPr>
                <w:rFonts w:ascii="Arial" w:hAnsi="Arial" w:cs="Arial"/>
                <w:i/>
                <w:color w:val="002C77"/>
                <w:sz w:val="18"/>
                <w:szCs w:val="18"/>
              </w:rPr>
              <w:t xml:space="preserve"> engagement with the Issuer.)</w:t>
            </w:r>
          </w:p>
        </w:tc>
      </w:tr>
      <w:tr w:rsidR="007B4BA9" w14:paraId="24C6DFD0" w14:textId="77777777" w:rsidTr="00F2442E">
        <w:trPr>
          <w:trHeight w:val="1667"/>
        </w:trPr>
        <w:tc>
          <w:tcPr>
            <w:tcW w:w="1387" w:type="dxa"/>
            <w:vMerge/>
            <w:tcBorders>
              <w:top w:val="nil"/>
              <w:left w:val="single" w:sz="8" w:space="0" w:color="BFBFBF"/>
              <w:bottom w:val="single" w:sz="8" w:space="0" w:color="BFBFBF"/>
              <w:right w:val="nil"/>
            </w:tcBorders>
            <w:shd w:val="clear" w:color="auto" w:fill="F2F2F2" w:themeFill="background1" w:themeFillShade="F2"/>
            <w:vAlign w:val="center"/>
            <w:hideMark/>
          </w:tcPr>
          <w:p w14:paraId="2F047AE4" w14:textId="77777777" w:rsidR="00044BFF" w:rsidRDefault="00044BFF" w:rsidP="00A400FD">
            <w:pPr>
              <w:rPr>
                <w:rFonts w:ascii="Arial" w:hAnsi="Arial" w:cs="Arial"/>
                <w:b/>
                <w:bCs/>
                <w:color w:val="002C77"/>
                <w:sz w:val="18"/>
                <w:szCs w:val="18"/>
              </w:rPr>
            </w:pPr>
          </w:p>
        </w:tc>
        <w:tc>
          <w:tcPr>
            <w:tcW w:w="1778" w:type="dxa"/>
            <w:tcBorders>
              <w:top w:val="single" w:sz="4" w:space="0" w:color="BFBFBF" w:themeColor="background1" w:themeShade="BF"/>
              <w:left w:val="nil"/>
              <w:bottom w:val="nil"/>
              <w:right w:val="single" w:sz="4" w:space="0" w:color="BFBFBF" w:themeColor="background1" w:themeShade="BF"/>
            </w:tcBorders>
            <w:vAlign w:val="center"/>
            <w:hideMark/>
          </w:tcPr>
          <w:p w14:paraId="59EB38EB" w14:textId="7FA4A14E" w:rsidR="00044BFF" w:rsidRDefault="0035147A" w:rsidP="00A400FD">
            <w:pPr>
              <w:rPr>
                <w:rFonts w:ascii="Arial" w:hAnsi="Arial" w:cs="Arial"/>
                <w:color w:val="002C77"/>
                <w:sz w:val="18"/>
                <w:szCs w:val="18"/>
              </w:rPr>
            </w:pPr>
            <w:r w:rsidRPr="0035147A">
              <w:rPr>
                <w:rFonts w:ascii="Arial" w:hAnsi="Arial" w:cs="Arial"/>
                <w:b/>
                <w:color w:val="002C77"/>
                <w:sz w:val="18"/>
                <w:szCs w:val="18"/>
              </w:rPr>
              <w:t>Microsoft Corporation</w:t>
            </w:r>
            <w:r w:rsidR="00044BFF">
              <w:rPr>
                <w:rFonts w:ascii="Arial" w:hAnsi="Arial" w:cs="Arial"/>
                <w:color w:val="002C77"/>
                <w:sz w:val="18"/>
                <w:szCs w:val="18"/>
              </w:rPr>
              <w:br/>
            </w:r>
            <w:r w:rsidR="00044BFF" w:rsidRPr="00F12FCE">
              <w:rPr>
                <w:rFonts w:ascii="Arial" w:hAnsi="Arial" w:cs="Arial"/>
                <w:i/>
                <w:color w:val="002C77"/>
                <w:sz w:val="18"/>
                <w:szCs w:val="18"/>
              </w:rPr>
              <w:t>(</w:t>
            </w:r>
            <w:r>
              <w:rPr>
                <w:rFonts w:ascii="Arial" w:hAnsi="Arial" w:cs="Arial"/>
                <w:i/>
                <w:color w:val="002C77"/>
                <w:sz w:val="18"/>
                <w:szCs w:val="18"/>
              </w:rPr>
              <w:t>4</w:t>
            </w:r>
            <w:r w:rsidR="00044BFF" w:rsidRPr="00F12FCE">
              <w:rPr>
                <w:rFonts w:ascii="Arial" w:hAnsi="Arial" w:cs="Arial"/>
                <w:i/>
                <w:color w:val="002C77"/>
                <w:sz w:val="18"/>
                <w:szCs w:val="18"/>
              </w:rPr>
              <w:t>.</w:t>
            </w:r>
            <w:r w:rsidR="00044BFF">
              <w:rPr>
                <w:rFonts w:ascii="Arial" w:hAnsi="Arial" w:cs="Arial"/>
                <w:i/>
                <w:color w:val="002C77"/>
                <w:sz w:val="18"/>
                <w:szCs w:val="18"/>
              </w:rPr>
              <w:t>4</w:t>
            </w:r>
            <w:r w:rsidR="00044BFF" w:rsidRPr="00F12FCE">
              <w:rPr>
                <w:rFonts w:ascii="Arial" w:hAnsi="Arial" w:cs="Arial"/>
                <w:i/>
                <w:color w:val="002C77"/>
                <w:sz w:val="18"/>
                <w:szCs w:val="18"/>
              </w:rPr>
              <w:t>%)</w:t>
            </w:r>
          </w:p>
        </w:tc>
        <w:tc>
          <w:tcPr>
            <w:tcW w:w="252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hideMark/>
          </w:tcPr>
          <w:p w14:paraId="2FF38323" w14:textId="6A2FFE47" w:rsidR="00044BFF" w:rsidRDefault="0035147A" w:rsidP="00A400FD">
            <w:pPr>
              <w:rPr>
                <w:rFonts w:ascii="Arial" w:hAnsi="Arial" w:cs="Arial"/>
                <w:color w:val="002C77"/>
                <w:sz w:val="18"/>
                <w:szCs w:val="18"/>
              </w:rPr>
            </w:pPr>
            <w:r w:rsidRPr="0035147A">
              <w:rPr>
                <w:rFonts w:ascii="Arial" w:hAnsi="Arial" w:cs="Arial"/>
                <w:color w:val="002C77"/>
                <w:sz w:val="18"/>
                <w:szCs w:val="18"/>
              </w:rPr>
              <w:t>10/12/2024</w:t>
            </w:r>
            <w:r w:rsidR="00044BFF">
              <w:rPr>
                <w:rFonts w:ascii="Arial" w:hAnsi="Arial" w:cs="Arial"/>
                <w:color w:val="002C77"/>
                <w:sz w:val="18"/>
                <w:szCs w:val="18"/>
              </w:rPr>
              <w:t>:</w:t>
            </w:r>
            <w:r>
              <w:t xml:space="preserve"> </w:t>
            </w:r>
            <w:r w:rsidRPr="0035147A">
              <w:rPr>
                <w:rFonts w:ascii="Arial" w:hAnsi="Arial" w:cs="Arial"/>
                <w:b/>
                <w:bCs/>
                <w:color w:val="002C77"/>
                <w:sz w:val="18"/>
                <w:szCs w:val="18"/>
              </w:rPr>
              <w:t>Shareholder Proposal Regarding Report on Risks of Providing AI to Facilitate New Oil and Gas Development and Production</w:t>
            </w:r>
            <w:r w:rsidR="00044BFF">
              <w:rPr>
                <w:rFonts w:ascii="Arial" w:hAnsi="Arial" w:cs="Arial"/>
                <w:color w:val="002C77"/>
                <w:sz w:val="18"/>
                <w:szCs w:val="18"/>
              </w:rPr>
              <w:br/>
            </w:r>
            <w:r w:rsidR="00044BFF">
              <w:rPr>
                <w:rFonts w:ascii="Arial" w:hAnsi="Arial" w:cs="Arial"/>
                <w:i/>
                <w:iCs/>
                <w:color w:val="002C77"/>
                <w:sz w:val="18"/>
                <w:szCs w:val="18"/>
              </w:rPr>
              <w:t>(Environmental)</w:t>
            </w:r>
          </w:p>
        </w:tc>
        <w:tc>
          <w:tcPr>
            <w:tcW w:w="501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hideMark/>
          </w:tcPr>
          <w:p w14:paraId="2BFAA18B" w14:textId="797048DC" w:rsidR="00044BFF" w:rsidRDefault="0035147A" w:rsidP="00A400FD">
            <w:pPr>
              <w:rPr>
                <w:rFonts w:ascii="Arial" w:hAnsi="Arial" w:cs="Arial"/>
                <w:b/>
                <w:bCs/>
                <w:color w:val="002C77"/>
                <w:sz w:val="18"/>
                <w:szCs w:val="18"/>
              </w:rPr>
            </w:pPr>
            <w:r w:rsidRPr="0035147A">
              <w:rPr>
                <w:rFonts w:ascii="Arial" w:hAnsi="Arial" w:cs="Arial"/>
                <w:b/>
                <w:bCs/>
                <w:color w:val="002C77"/>
                <w:sz w:val="18"/>
                <w:szCs w:val="18"/>
              </w:rPr>
              <w:t>Against</w:t>
            </w:r>
            <w:r w:rsidR="00044BFF">
              <w:rPr>
                <w:rFonts w:ascii="Arial" w:hAnsi="Arial" w:cs="Arial"/>
                <w:b/>
                <w:bCs/>
                <w:color w:val="002C77"/>
                <w:sz w:val="18"/>
                <w:szCs w:val="18"/>
              </w:rPr>
              <w:br/>
            </w:r>
            <w:r w:rsidR="00044BFF" w:rsidRPr="00127E00">
              <w:rPr>
                <w:rFonts w:ascii="Arial" w:hAnsi="Arial" w:cs="Arial"/>
                <w:i/>
                <w:color w:val="002C77"/>
                <w:sz w:val="18"/>
                <w:szCs w:val="18"/>
              </w:rPr>
              <w:t>(</w:t>
            </w:r>
            <w:r w:rsidRPr="0035147A">
              <w:rPr>
                <w:rFonts w:ascii="Arial" w:hAnsi="Arial" w:cs="Arial"/>
                <w:i/>
                <w:color w:val="002C77"/>
                <w:sz w:val="18"/>
                <w:szCs w:val="18"/>
              </w:rPr>
              <w:t>No - The Stewardship Team believe the proposal did not merit support, as the company’s disclosures related to social issues are reasonable.)</w:t>
            </w:r>
          </w:p>
        </w:tc>
        <w:tc>
          <w:tcPr>
            <w:tcW w:w="4182" w:type="dxa"/>
            <w:tcBorders>
              <w:top w:val="single" w:sz="4" w:space="0" w:color="BFBFBF" w:themeColor="background1" w:themeShade="BF"/>
              <w:left w:val="single" w:sz="4" w:space="0" w:color="BFBFBF" w:themeColor="background1" w:themeShade="BF"/>
              <w:bottom w:val="nil"/>
              <w:right w:val="single" w:sz="8" w:space="0" w:color="BFBFBF"/>
            </w:tcBorders>
            <w:vAlign w:val="center"/>
            <w:hideMark/>
          </w:tcPr>
          <w:p w14:paraId="30491C54" w14:textId="038C559A" w:rsidR="00BE4D90" w:rsidRPr="00BE4D90" w:rsidRDefault="00BE4D90" w:rsidP="00BE4D90">
            <w:pPr>
              <w:rPr>
                <w:rFonts w:ascii="Arial" w:hAnsi="Arial" w:cs="Arial"/>
                <w:i/>
                <w:color w:val="002C77"/>
                <w:sz w:val="18"/>
                <w:szCs w:val="18"/>
              </w:rPr>
            </w:pPr>
            <w:r w:rsidRPr="00BE4D90">
              <w:rPr>
                <w:rFonts w:ascii="Arial" w:hAnsi="Arial" w:cs="Arial"/>
                <w:b/>
                <w:color w:val="002C77"/>
                <w:sz w:val="18"/>
                <w:szCs w:val="18"/>
              </w:rPr>
              <w:t>9.7% Support</w:t>
            </w:r>
            <w:r w:rsidR="00044BFF">
              <w:rPr>
                <w:rFonts w:ascii="Arial" w:hAnsi="Arial" w:cs="Arial"/>
                <w:color w:val="002C77"/>
                <w:sz w:val="18"/>
                <w:szCs w:val="18"/>
              </w:rPr>
              <w:br/>
            </w:r>
            <w:r w:rsidRPr="00BE4D90">
              <w:rPr>
                <w:rFonts w:ascii="Arial" w:hAnsi="Arial" w:cs="Arial"/>
                <w:i/>
                <w:color w:val="002C77"/>
                <w:sz w:val="18"/>
                <w:szCs w:val="18"/>
              </w:rPr>
              <w:t xml:space="preserve">Proposal did not pass. </w:t>
            </w:r>
          </w:p>
          <w:p w14:paraId="49142471" w14:textId="7FD09828" w:rsidR="00044BFF" w:rsidRDefault="00BE4D90" w:rsidP="00BE4D90">
            <w:pPr>
              <w:rPr>
                <w:rFonts w:ascii="Arial" w:hAnsi="Arial" w:cs="Arial"/>
                <w:color w:val="002C77"/>
                <w:sz w:val="18"/>
                <w:szCs w:val="18"/>
              </w:rPr>
            </w:pPr>
            <w:r w:rsidRPr="00BE4D90">
              <w:rPr>
                <w:rFonts w:ascii="Arial" w:hAnsi="Arial" w:cs="Arial"/>
                <w:i/>
                <w:color w:val="002C77"/>
                <w:sz w:val="18"/>
                <w:szCs w:val="18"/>
              </w:rPr>
              <w:t>(N/A.)</w:t>
            </w:r>
          </w:p>
        </w:tc>
      </w:tr>
      <w:tr w:rsidR="007B4BA9" w14:paraId="062E1C87" w14:textId="77777777" w:rsidTr="00F02189">
        <w:trPr>
          <w:trHeight w:val="555"/>
        </w:trPr>
        <w:tc>
          <w:tcPr>
            <w:tcW w:w="1387" w:type="dxa"/>
            <w:tcBorders>
              <w:top w:val="single" w:sz="4" w:space="0" w:color="FFFFFF" w:themeColor="background1"/>
              <w:left w:val="single" w:sz="8" w:space="0" w:color="BFBFBF"/>
              <w:bottom w:val="single" w:sz="4" w:space="0" w:color="FFFFFF" w:themeColor="background1"/>
              <w:right w:val="single" w:sz="4" w:space="0" w:color="FFFFFF" w:themeColor="background1"/>
            </w:tcBorders>
            <w:shd w:val="clear" w:color="auto" w:fill="00B0F0"/>
            <w:vAlign w:val="center"/>
          </w:tcPr>
          <w:p w14:paraId="21CE001D"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Fund</w:t>
            </w:r>
          </w:p>
        </w:tc>
        <w:tc>
          <w:tcPr>
            <w:tcW w:w="17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76E728EC"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1D19D2DF"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 xml:space="preserve">Meeting Date -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5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02BB6AE4"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(Communication of vote against management - Rationale if available)</w:t>
            </w:r>
          </w:p>
        </w:tc>
        <w:tc>
          <w:tcPr>
            <w:tcW w:w="4182" w:type="dxa"/>
            <w:tcBorders>
              <w:top w:val="single" w:sz="4" w:space="0" w:color="FFFFFF" w:themeColor="background1"/>
              <w:left w:val="single" w:sz="4" w:space="0" w:color="FFFFFF" w:themeColor="background1"/>
              <w:bottom w:val="single" w:sz="4" w:space="0" w:color="FFFFFF" w:themeColor="background1"/>
              <w:right w:val="single" w:sz="8" w:space="0" w:color="BFBFBF"/>
            </w:tcBorders>
            <w:shd w:val="clear" w:color="auto" w:fill="00B0F0"/>
            <w:vAlign w:val="center"/>
          </w:tcPr>
          <w:p w14:paraId="6B0050F1"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if available)</w:t>
            </w:r>
          </w:p>
        </w:tc>
      </w:tr>
      <w:tr w:rsidR="00F02189" w14:paraId="1AC4E8EC" w14:textId="77777777" w:rsidTr="00F02189">
        <w:trPr>
          <w:trHeight w:val="1710"/>
        </w:trPr>
        <w:tc>
          <w:tcPr>
            <w:tcW w:w="1387" w:type="dxa"/>
            <w:vMerge w:val="restart"/>
            <w:tcBorders>
              <w:top w:val="single" w:sz="4" w:space="0" w:color="FFFFFF" w:themeColor="background1"/>
              <w:left w:val="single" w:sz="8" w:space="0" w:color="BFBFBF"/>
              <w:right w:val="nil"/>
            </w:tcBorders>
            <w:shd w:val="clear" w:color="auto" w:fill="F2F2F2" w:themeFill="background1" w:themeFillShade="F2"/>
            <w:vAlign w:val="center"/>
            <w:hideMark/>
          </w:tcPr>
          <w:p w14:paraId="32090B89" w14:textId="61296272" w:rsidR="00F02189" w:rsidRDefault="00F02189" w:rsidP="00A400FD">
            <w:pPr>
              <w:rPr>
                <w:rFonts w:ascii="Arial" w:hAnsi="Arial" w:cs="Arial"/>
                <w:b/>
                <w:bCs/>
                <w:color w:val="002C77"/>
                <w:sz w:val="18"/>
                <w:szCs w:val="18"/>
              </w:rPr>
            </w:pPr>
            <w:r w:rsidRPr="00BE4D90">
              <w:rPr>
                <w:rFonts w:ascii="Arial" w:hAnsi="Arial" w:cs="Arial"/>
                <w:b/>
                <w:bCs/>
                <w:color w:val="002C77"/>
                <w:sz w:val="18"/>
                <w:szCs w:val="18"/>
              </w:rPr>
              <w:t>Mercer Passive Climate Transition Infrastructure Equity UCITS CCF</w:t>
            </w:r>
          </w:p>
        </w:tc>
        <w:tc>
          <w:tcPr>
            <w:tcW w:w="1778" w:type="dxa"/>
            <w:tcBorders>
              <w:top w:val="single" w:sz="4" w:space="0" w:color="FFFFFF" w:themeColor="background1"/>
              <w:left w:val="nil"/>
              <w:bottom w:val="single" w:sz="4" w:space="0" w:color="BFBFBF" w:themeColor="background1" w:themeShade="BF"/>
              <w:right w:val="single" w:sz="4" w:space="0" w:color="BFBFBF" w:themeColor="background1" w:themeShade="BF"/>
            </w:tcBorders>
            <w:vAlign w:val="center"/>
            <w:hideMark/>
          </w:tcPr>
          <w:p w14:paraId="200C4BDB" w14:textId="505C99A4" w:rsidR="00F02189" w:rsidRDefault="00F02189" w:rsidP="00A400FD">
            <w:pPr>
              <w:rPr>
                <w:rFonts w:ascii="Arial" w:hAnsi="Arial" w:cs="Arial"/>
                <w:color w:val="002C77"/>
                <w:sz w:val="18"/>
                <w:szCs w:val="18"/>
              </w:rPr>
            </w:pPr>
            <w:r w:rsidRPr="00BE4D90">
              <w:rPr>
                <w:rFonts w:ascii="Arial" w:hAnsi="Arial" w:cs="Arial"/>
                <w:b/>
                <w:color w:val="002C77"/>
                <w:sz w:val="18"/>
                <w:szCs w:val="18"/>
              </w:rPr>
              <w:t>NextEra Energy Inc</w:t>
            </w:r>
            <w:r>
              <w:rPr>
                <w:rFonts w:ascii="Arial" w:hAnsi="Arial" w:cs="Arial"/>
                <w:color w:val="002C77"/>
                <w:sz w:val="18"/>
                <w:szCs w:val="18"/>
              </w:rPr>
              <w:br/>
            </w:r>
            <w:r w:rsidRPr="00127E00">
              <w:rPr>
                <w:rFonts w:ascii="Arial" w:hAnsi="Arial" w:cs="Arial"/>
                <w:i/>
                <w:color w:val="002C77"/>
                <w:sz w:val="18"/>
                <w:szCs w:val="18"/>
              </w:rPr>
              <w:t>(</w:t>
            </w:r>
            <w:r>
              <w:rPr>
                <w:rFonts w:ascii="Arial" w:hAnsi="Arial" w:cs="Arial"/>
                <w:i/>
                <w:color w:val="002C77"/>
                <w:sz w:val="18"/>
                <w:szCs w:val="18"/>
              </w:rPr>
              <w:t>4</w:t>
            </w:r>
            <w:r w:rsidRPr="00127E00">
              <w:rPr>
                <w:rFonts w:ascii="Arial" w:hAnsi="Arial" w:cs="Arial"/>
                <w:i/>
                <w:color w:val="002C77"/>
                <w:sz w:val="18"/>
                <w:szCs w:val="18"/>
              </w:rPr>
              <w:t>.</w:t>
            </w:r>
            <w:r>
              <w:rPr>
                <w:rFonts w:ascii="Arial" w:hAnsi="Arial" w:cs="Arial"/>
                <w:i/>
                <w:color w:val="002C77"/>
                <w:sz w:val="18"/>
                <w:szCs w:val="18"/>
              </w:rPr>
              <w:t>1</w:t>
            </w:r>
            <w:r w:rsidRPr="00127E00">
              <w:rPr>
                <w:rFonts w:ascii="Arial" w:hAnsi="Arial" w:cs="Arial"/>
                <w:i/>
                <w:color w:val="002C77"/>
                <w:sz w:val="18"/>
                <w:szCs w:val="18"/>
              </w:rPr>
              <w:t>%)</w:t>
            </w:r>
          </w:p>
        </w:tc>
        <w:tc>
          <w:tcPr>
            <w:tcW w:w="252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C6D62C" w14:textId="19E13316" w:rsidR="00F02189" w:rsidRDefault="00F02189" w:rsidP="00A400FD">
            <w:pPr>
              <w:rPr>
                <w:rFonts w:ascii="Arial" w:hAnsi="Arial" w:cs="Arial"/>
                <w:color w:val="002C77"/>
                <w:sz w:val="18"/>
                <w:szCs w:val="18"/>
              </w:rPr>
            </w:pPr>
            <w:r w:rsidRPr="00BE4D90">
              <w:rPr>
                <w:rFonts w:ascii="Arial" w:hAnsi="Arial" w:cs="Arial"/>
                <w:color w:val="002C77"/>
                <w:sz w:val="18"/>
                <w:szCs w:val="18"/>
              </w:rPr>
              <w:t>23/5/2024</w:t>
            </w:r>
            <w:r>
              <w:rPr>
                <w:rFonts w:ascii="Arial" w:hAnsi="Arial" w:cs="Arial"/>
                <w:color w:val="002C77"/>
                <w:sz w:val="18"/>
                <w:szCs w:val="18"/>
              </w:rPr>
              <w:t>:</w:t>
            </w:r>
            <w:r>
              <w:rPr>
                <w:rFonts w:ascii="Arial" w:hAnsi="Arial" w:cs="Arial"/>
                <w:b/>
                <w:bCs/>
                <w:color w:val="002C77"/>
                <w:sz w:val="18"/>
                <w:szCs w:val="18"/>
              </w:rPr>
              <w:t xml:space="preserve"> </w:t>
            </w:r>
            <w:r w:rsidRPr="00BE4D90">
              <w:rPr>
                <w:rFonts w:ascii="Arial" w:hAnsi="Arial" w:cs="Arial"/>
                <w:b/>
                <w:bCs/>
                <w:color w:val="002C77"/>
                <w:sz w:val="18"/>
                <w:szCs w:val="18"/>
              </w:rPr>
              <w:t>Shareholder Proposal Regarding Lobbying Alignment with Climate Commitments</w:t>
            </w:r>
            <w:r>
              <w:rPr>
                <w:rFonts w:ascii="Arial" w:hAnsi="Arial" w:cs="Arial"/>
                <w:color w:val="002C77"/>
                <w:sz w:val="18"/>
                <w:szCs w:val="18"/>
              </w:rPr>
              <w:br/>
            </w:r>
            <w:r>
              <w:rPr>
                <w:rFonts w:ascii="Arial" w:hAnsi="Arial" w:cs="Arial"/>
                <w:i/>
                <w:iCs/>
                <w:color w:val="002C77"/>
                <w:sz w:val="18"/>
                <w:szCs w:val="18"/>
              </w:rPr>
              <w:t>(Environmental)</w:t>
            </w:r>
          </w:p>
        </w:tc>
        <w:tc>
          <w:tcPr>
            <w:tcW w:w="5013"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12FFA4" w14:textId="36D6E8F8" w:rsidR="00F02189" w:rsidRDefault="00F02189" w:rsidP="00A400FD">
            <w:pPr>
              <w:rPr>
                <w:rFonts w:ascii="Arial" w:hAnsi="Arial" w:cs="Arial"/>
                <w:b/>
                <w:bCs/>
                <w:color w:val="002C77"/>
                <w:sz w:val="18"/>
                <w:szCs w:val="18"/>
              </w:rPr>
            </w:pPr>
            <w:r>
              <w:rPr>
                <w:rFonts w:ascii="Arial" w:hAnsi="Arial" w:cs="Arial"/>
                <w:b/>
                <w:bCs/>
                <w:color w:val="002C77"/>
                <w:sz w:val="18"/>
                <w:szCs w:val="18"/>
              </w:rPr>
              <w:t xml:space="preserve">For </w:t>
            </w:r>
            <w:r>
              <w:rPr>
                <w:rFonts w:ascii="Arial" w:hAnsi="Arial" w:cs="Arial"/>
                <w:b/>
                <w:bCs/>
                <w:color w:val="002C77"/>
                <w:sz w:val="18"/>
                <w:szCs w:val="18"/>
              </w:rPr>
              <w:br/>
            </w:r>
            <w:r w:rsidRPr="00127E00">
              <w:rPr>
                <w:rFonts w:ascii="Arial" w:hAnsi="Arial" w:cs="Arial"/>
                <w:i/>
                <w:color w:val="002C77"/>
                <w:sz w:val="18"/>
                <w:szCs w:val="18"/>
              </w:rPr>
              <w:t>(</w:t>
            </w:r>
            <w:r w:rsidRPr="00BE4D90">
              <w:rPr>
                <w:rFonts w:ascii="Arial" w:hAnsi="Arial" w:cs="Arial"/>
                <w:i/>
                <w:color w:val="002C77"/>
                <w:sz w:val="18"/>
                <w:szCs w:val="18"/>
              </w:rPr>
              <w:t>No - A vote in favour is applied, Manager encourages all companies to report their climate lobbying activity in line with the Global standard on responsible corporate climate lobbying.)</w:t>
            </w:r>
          </w:p>
        </w:tc>
        <w:tc>
          <w:tcPr>
            <w:tcW w:w="4182" w:type="dxa"/>
            <w:tcBorders>
              <w:top w:val="single" w:sz="4" w:space="0" w:color="FFFFFF" w:themeColor="background1"/>
              <w:left w:val="single" w:sz="4" w:space="0" w:color="BFBFBF" w:themeColor="background1" w:themeShade="BF"/>
              <w:bottom w:val="single" w:sz="4" w:space="0" w:color="BFBFBF" w:themeColor="background1" w:themeShade="BF"/>
              <w:right w:val="single" w:sz="8" w:space="0" w:color="BFBFBF"/>
            </w:tcBorders>
            <w:vAlign w:val="center"/>
            <w:hideMark/>
          </w:tcPr>
          <w:p w14:paraId="4BE9C6A3" w14:textId="6D67FA0A" w:rsidR="00F02189" w:rsidRDefault="00F02189" w:rsidP="00BE4D90">
            <w:pPr>
              <w:rPr>
                <w:rFonts w:ascii="Arial" w:hAnsi="Arial" w:cs="Arial"/>
                <w:i/>
                <w:color w:val="002C77"/>
                <w:sz w:val="18"/>
                <w:szCs w:val="18"/>
              </w:rPr>
            </w:pPr>
            <w:r w:rsidRPr="00BE4D90">
              <w:rPr>
                <w:rFonts w:ascii="Arial" w:hAnsi="Arial" w:cs="Arial"/>
                <w:b/>
                <w:color w:val="002C77"/>
                <w:sz w:val="18"/>
                <w:szCs w:val="18"/>
              </w:rPr>
              <w:t>32.1% Support</w:t>
            </w:r>
            <w:r w:rsidRPr="00127E00">
              <w:rPr>
                <w:rFonts w:ascii="Arial" w:hAnsi="Arial" w:cs="Arial"/>
                <w:b/>
                <w:color w:val="002C77"/>
                <w:sz w:val="18"/>
                <w:szCs w:val="18"/>
              </w:rPr>
              <w:br/>
            </w:r>
            <w:r w:rsidRPr="00BE4D90">
              <w:rPr>
                <w:rFonts w:ascii="Arial" w:hAnsi="Arial" w:cs="Arial"/>
                <w:color w:val="002C77"/>
                <w:sz w:val="18"/>
                <w:szCs w:val="18"/>
              </w:rPr>
              <w:t>Proposal did not pass</w:t>
            </w:r>
            <w:r>
              <w:rPr>
                <w:rFonts w:ascii="Arial" w:hAnsi="Arial" w:cs="Arial"/>
                <w:color w:val="002C77"/>
                <w:sz w:val="18"/>
                <w:szCs w:val="18"/>
              </w:rPr>
              <w:t xml:space="preserve">. </w:t>
            </w:r>
          </w:p>
          <w:p w14:paraId="7E6A1605" w14:textId="343A6EE2" w:rsidR="00F02189" w:rsidRPr="00BE4D90" w:rsidRDefault="00F02189" w:rsidP="00BE4D90">
            <w:pPr>
              <w:rPr>
                <w:rFonts w:ascii="Arial" w:hAnsi="Arial" w:cs="Arial"/>
                <w:i/>
                <w:color w:val="002C77"/>
                <w:sz w:val="18"/>
                <w:szCs w:val="18"/>
              </w:rPr>
            </w:pPr>
            <w:r w:rsidRPr="00BE4D90">
              <w:rPr>
                <w:rFonts w:ascii="Arial" w:hAnsi="Arial" w:cs="Arial"/>
                <w:i/>
                <w:color w:val="002C77"/>
                <w:sz w:val="18"/>
                <w:szCs w:val="18"/>
              </w:rPr>
              <w:t>(Climate lobbying continues to be an area of focus for</w:t>
            </w:r>
            <w:r w:rsidR="0078548E">
              <w:rPr>
                <w:rFonts w:ascii="Arial" w:hAnsi="Arial" w:cs="Arial"/>
                <w:i/>
                <w:color w:val="002C77"/>
                <w:sz w:val="18"/>
                <w:szCs w:val="18"/>
              </w:rPr>
              <w:t xml:space="preserve"> the</w:t>
            </w:r>
            <w:r w:rsidRPr="00BE4D90">
              <w:rPr>
                <w:rFonts w:ascii="Arial" w:hAnsi="Arial" w:cs="Arial"/>
                <w:i/>
                <w:color w:val="002C77"/>
                <w:sz w:val="18"/>
                <w:szCs w:val="18"/>
              </w:rPr>
              <w:t xml:space="preserve"> Manager</w:t>
            </w:r>
            <w:r w:rsidR="006631D8">
              <w:rPr>
                <w:rFonts w:ascii="Arial" w:hAnsi="Arial" w:cs="Arial"/>
                <w:i/>
                <w:color w:val="002C77"/>
                <w:sz w:val="18"/>
                <w:szCs w:val="18"/>
              </w:rPr>
              <w:t xml:space="preserve">. The </w:t>
            </w:r>
            <w:r w:rsidRPr="00BE4D90">
              <w:rPr>
                <w:rFonts w:ascii="Arial" w:hAnsi="Arial" w:cs="Arial"/>
                <w:i/>
                <w:color w:val="002C77"/>
                <w:sz w:val="18"/>
                <w:szCs w:val="18"/>
              </w:rPr>
              <w:t xml:space="preserve">Manager will continue to support shareholder resolutions on this topic, and to co-file them selectively as an escalation (as Manager did at Nippon Steel in their 2024 AGM). </w:t>
            </w:r>
          </w:p>
          <w:p w14:paraId="46DBA97D" w14:textId="1D8ABCAC" w:rsidR="00F02189" w:rsidRPr="00BE4D90" w:rsidRDefault="00F02189" w:rsidP="00BE4D90">
            <w:pPr>
              <w:rPr>
                <w:rFonts w:ascii="Arial" w:hAnsi="Arial" w:cs="Arial"/>
                <w:i/>
                <w:color w:val="002C77"/>
                <w:sz w:val="18"/>
                <w:szCs w:val="18"/>
              </w:rPr>
            </w:pPr>
            <w:r w:rsidRPr="00BE4D90">
              <w:rPr>
                <w:rFonts w:ascii="Arial" w:hAnsi="Arial" w:cs="Arial"/>
                <w:i/>
                <w:color w:val="002C77"/>
                <w:sz w:val="18"/>
                <w:szCs w:val="18"/>
              </w:rPr>
              <w:t xml:space="preserve">Manager believes ambitious climate policy is essential to meeting the goal of the Paris Agreement. Manager needs a supportive environment </w:t>
            </w:r>
            <w:r w:rsidR="0078548E">
              <w:rPr>
                <w:rFonts w:ascii="Arial" w:hAnsi="Arial" w:cs="Arial"/>
                <w:i/>
                <w:color w:val="002C77"/>
                <w:sz w:val="18"/>
                <w:szCs w:val="18"/>
              </w:rPr>
              <w:t xml:space="preserve">policy </w:t>
            </w:r>
            <w:r w:rsidRPr="00BE4D90">
              <w:rPr>
                <w:rFonts w:ascii="Arial" w:hAnsi="Arial" w:cs="Arial"/>
                <w:i/>
                <w:color w:val="002C77"/>
                <w:sz w:val="18"/>
                <w:szCs w:val="18"/>
              </w:rPr>
              <w:t xml:space="preserve">to ensure that all sectors of </w:t>
            </w:r>
            <w:r w:rsidRPr="00BE4D90">
              <w:rPr>
                <w:rFonts w:ascii="Arial" w:hAnsi="Arial" w:cs="Arial"/>
                <w:i/>
                <w:color w:val="002C77"/>
                <w:sz w:val="18"/>
                <w:szCs w:val="18"/>
              </w:rPr>
              <w:lastRenderedPageBreak/>
              <w:t>the economy can undergo an orderly transition to net zero emissions by 2050.</w:t>
            </w:r>
          </w:p>
          <w:p w14:paraId="7401FAFF" w14:textId="6E74DBD6" w:rsidR="00F02189" w:rsidRPr="00BE4D90" w:rsidRDefault="00F02189" w:rsidP="00BE4D90">
            <w:pPr>
              <w:rPr>
                <w:rFonts w:ascii="Arial" w:hAnsi="Arial" w:cs="Arial"/>
                <w:i/>
                <w:color w:val="002C77"/>
                <w:sz w:val="18"/>
                <w:szCs w:val="18"/>
              </w:rPr>
            </w:pPr>
            <w:r w:rsidRPr="00BE4D90">
              <w:rPr>
                <w:rFonts w:ascii="Arial" w:hAnsi="Arial" w:cs="Arial"/>
                <w:i/>
                <w:color w:val="002C77"/>
                <w:sz w:val="18"/>
                <w:szCs w:val="18"/>
              </w:rPr>
              <w:t xml:space="preserve">Companies have a significant role to play in determining these policies. Furthermore, it is in a company’s best interests for its climate and decarbonisation-related policy positions and direct and indirect lobbying activities to be aligned with its corporate goals and the achievement of its greenhouse gas emissions reduction targets. As active owners, Managers are committed to engaging collectively and individually with companies around the world to highlight and improve their climate lobbying accountability, and to escalate this where required. </w:t>
            </w:r>
          </w:p>
          <w:p w14:paraId="00E6367C" w14:textId="0B06F9A2" w:rsidR="00F02189" w:rsidRDefault="00F02189" w:rsidP="00BE4D90">
            <w:pPr>
              <w:rPr>
                <w:rFonts w:ascii="Arial" w:hAnsi="Arial" w:cs="Arial"/>
                <w:color w:val="002C77"/>
                <w:sz w:val="18"/>
                <w:szCs w:val="18"/>
              </w:rPr>
            </w:pPr>
            <w:r w:rsidRPr="00BE4D90">
              <w:rPr>
                <w:rFonts w:ascii="Arial" w:hAnsi="Arial" w:cs="Arial"/>
                <w:i/>
                <w:color w:val="002C77"/>
                <w:sz w:val="18"/>
                <w:szCs w:val="18"/>
              </w:rPr>
              <w:t>NextEra Energy is captured under the quantitative stream of our Climate Impact Pledge - they have not been subject to vote sanctions under the Pledge, but Manager will continue to monitor their adherence to and progress against our minimum expectations on climate change.)</w:t>
            </w:r>
          </w:p>
        </w:tc>
      </w:tr>
      <w:tr w:rsidR="00F02189" w14:paraId="2C03035A" w14:textId="77777777" w:rsidTr="00F02189">
        <w:trPr>
          <w:trHeight w:val="1935"/>
        </w:trPr>
        <w:tc>
          <w:tcPr>
            <w:tcW w:w="1387" w:type="dxa"/>
            <w:vMerge/>
            <w:tcBorders>
              <w:left w:val="single" w:sz="8" w:space="0" w:color="BFBFBF"/>
              <w:right w:val="nil"/>
            </w:tcBorders>
            <w:shd w:val="clear" w:color="auto" w:fill="F2F2F2" w:themeFill="background1" w:themeFillShade="F2"/>
            <w:vAlign w:val="center"/>
            <w:hideMark/>
          </w:tcPr>
          <w:p w14:paraId="0F287038" w14:textId="77777777" w:rsidR="00F02189" w:rsidRDefault="00F02189" w:rsidP="00A400FD">
            <w:pPr>
              <w:rPr>
                <w:rFonts w:ascii="Arial" w:hAnsi="Arial" w:cs="Arial"/>
                <w:b/>
                <w:bCs/>
                <w:color w:val="002C77"/>
                <w:sz w:val="18"/>
                <w:szCs w:val="18"/>
              </w:rPr>
            </w:pPr>
          </w:p>
        </w:tc>
        <w:tc>
          <w:tcPr>
            <w:tcW w:w="1778" w:type="dxa"/>
            <w:vMerge w:val="restart"/>
            <w:tcBorders>
              <w:top w:val="single" w:sz="4" w:space="0" w:color="BFBFBF" w:themeColor="background1" w:themeShade="BF"/>
              <w:left w:val="nil"/>
              <w:right w:val="single" w:sz="4" w:space="0" w:color="BFBFBF" w:themeColor="background1" w:themeShade="BF"/>
            </w:tcBorders>
            <w:vAlign w:val="center"/>
            <w:hideMark/>
          </w:tcPr>
          <w:p w14:paraId="3155010C" w14:textId="77777777" w:rsidR="00F02189" w:rsidRDefault="00F02189" w:rsidP="00A400FD">
            <w:pPr>
              <w:rPr>
                <w:rFonts w:ascii="Arial" w:hAnsi="Arial" w:cs="Arial"/>
                <w:color w:val="002C77"/>
                <w:sz w:val="18"/>
                <w:szCs w:val="18"/>
              </w:rPr>
            </w:pPr>
            <w:r w:rsidRPr="0086483C">
              <w:rPr>
                <w:rFonts w:ascii="Arial" w:hAnsi="Arial" w:cs="Arial"/>
                <w:b/>
                <w:color w:val="002C77"/>
                <w:sz w:val="18"/>
                <w:szCs w:val="18"/>
              </w:rPr>
              <w:t>Enbridge Inc</w:t>
            </w:r>
            <w:r>
              <w:rPr>
                <w:rFonts w:ascii="Arial" w:hAnsi="Arial" w:cs="Arial"/>
                <w:color w:val="002C77"/>
                <w:sz w:val="18"/>
                <w:szCs w:val="18"/>
              </w:rPr>
              <w:br/>
            </w:r>
            <w:r w:rsidRPr="00127E00">
              <w:rPr>
                <w:rFonts w:ascii="Arial" w:hAnsi="Arial" w:cs="Arial"/>
                <w:i/>
                <w:color w:val="002C77"/>
                <w:sz w:val="18"/>
                <w:szCs w:val="18"/>
              </w:rPr>
              <w:t>(</w:t>
            </w:r>
            <w:r>
              <w:rPr>
                <w:rFonts w:ascii="Arial" w:hAnsi="Arial" w:cs="Arial"/>
                <w:i/>
                <w:color w:val="002C77"/>
                <w:sz w:val="18"/>
                <w:szCs w:val="18"/>
              </w:rPr>
              <w:t>4.4%</w:t>
            </w:r>
            <w:r w:rsidRPr="00127E00">
              <w:rPr>
                <w:rFonts w:ascii="Arial" w:hAnsi="Arial" w:cs="Arial"/>
                <w:i/>
                <w:color w:val="002C77"/>
                <w:sz w:val="18"/>
                <w:szCs w:val="18"/>
              </w:rPr>
              <w:t>)</w:t>
            </w:r>
          </w:p>
          <w:p w14:paraId="2515F0B1" w14:textId="77777777" w:rsidR="00F02189" w:rsidRDefault="00F02189" w:rsidP="00A400FD">
            <w:pPr>
              <w:rPr>
                <w:rFonts w:ascii="Arial" w:hAnsi="Arial" w:cs="Arial"/>
                <w:color w:val="002C77"/>
                <w:sz w:val="18"/>
                <w:szCs w:val="18"/>
              </w:rPr>
            </w:pPr>
          </w:p>
          <w:p w14:paraId="55BF8D24" w14:textId="77777777" w:rsidR="00F02189" w:rsidRDefault="00F02189" w:rsidP="00A400FD">
            <w:pPr>
              <w:rPr>
                <w:rFonts w:ascii="Arial" w:hAnsi="Arial" w:cs="Arial"/>
                <w:color w:val="002C77"/>
                <w:sz w:val="18"/>
                <w:szCs w:val="18"/>
              </w:rPr>
            </w:pPr>
          </w:p>
          <w:p w14:paraId="30968BED" w14:textId="77777777" w:rsidR="00F02189" w:rsidRDefault="00F02189" w:rsidP="00A400FD">
            <w:pPr>
              <w:rPr>
                <w:rFonts w:ascii="Arial" w:hAnsi="Arial" w:cs="Arial"/>
                <w:color w:val="002C77"/>
                <w:sz w:val="18"/>
                <w:szCs w:val="18"/>
              </w:rPr>
            </w:pPr>
          </w:p>
          <w:p w14:paraId="790D0311" w14:textId="77777777" w:rsidR="00F02189" w:rsidRDefault="00F02189" w:rsidP="00A400FD">
            <w:pPr>
              <w:rPr>
                <w:rFonts w:ascii="Arial" w:hAnsi="Arial" w:cs="Arial"/>
                <w:color w:val="002C77"/>
                <w:sz w:val="18"/>
                <w:szCs w:val="18"/>
              </w:rPr>
            </w:pPr>
          </w:p>
          <w:p w14:paraId="2389FFE2" w14:textId="77777777" w:rsidR="00F02189" w:rsidRDefault="00F02189" w:rsidP="00A400FD">
            <w:pPr>
              <w:rPr>
                <w:rFonts w:ascii="Arial" w:hAnsi="Arial" w:cs="Arial"/>
                <w:color w:val="002C77"/>
                <w:sz w:val="18"/>
                <w:szCs w:val="18"/>
              </w:rPr>
            </w:pPr>
          </w:p>
          <w:p w14:paraId="6EF091C6" w14:textId="77777777" w:rsidR="00F02189" w:rsidRDefault="00F02189" w:rsidP="00A400FD">
            <w:pPr>
              <w:rPr>
                <w:rFonts w:ascii="Arial" w:hAnsi="Arial" w:cs="Arial"/>
                <w:color w:val="002C77"/>
                <w:sz w:val="18"/>
                <w:szCs w:val="18"/>
              </w:rPr>
            </w:pPr>
          </w:p>
          <w:p w14:paraId="3179EAF9" w14:textId="77777777" w:rsidR="00F02189" w:rsidRDefault="00F02189" w:rsidP="00A400FD">
            <w:pPr>
              <w:rPr>
                <w:rFonts w:ascii="Arial" w:hAnsi="Arial" w:cs="Arial"/>
                <w:color w:val="002C77"/>
                <w:sz w:val="18"/>
                <w:szCs w:val="18"/>
              </w:rPr>
            </w:pPr>
          </w:p>
          <w:p w14:paraId="1D65C217" w14:textId="2B40DB89" w:rsidR="00F02189" w:rsidRDefault="00F02189" w:rsidP="00A400FD">
            <w:pPr>
              <w:rPr>
                <w:rFonts w:ascii="Arial" w:hAnsi="Arial" w:cs="Arial"/>
                <w:color w:val="002C77"/>
                <w:sz w:val="18"/>
                <w:szCs w:val="18"/>
              </w:rPr>
            </w:pP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623061" w14:textId="77777777" w:rsidR="00F02189" w:rsidRDefault="00F02189" w:rsidP="00A400FD">
            <w:pPr>
              <w:rPr>
                <w:rFonts w:ascii="Arial" w:hAnsi="Arial" w:cs="Arial"/>
                <w:b/>
                <w:bCs/>
                <w:color w:val="002C77"/>
                <w:sz w:val="18"/>
                <w:szCs w:val="18"/>
              </w:rPr>
            </w:pPr>
            <w:r w:rsidRPr="0086483C">
              <w:rPr>
                <w:rFonts w:ascii="Arial" w:hAnsi="Arial" w:cs="Arial"/>
                <w:color w:val="002C77"/>
                <w:sz w:val="18"/>
                <w:szCs w:val="18"/>
              </w:rPr>
              <w:lastRenderedPageBreak/>
              <w:t>08/05/2024</w:t>
            </w:r>
            <w:r>
              <w:rPr>
                <w:rFonts w:ascii="Arial" w:hAnsi="Arial" w:cs="Arial"/>
                <w:color w:val="002C77"/>
                <w:sz w:val="18"/>
                <w:szCs w:val="18"/>
              </w:rPr>
              <w:t xml:space="preserve">: </w:t>
            </w:r>
            <w:r w:rsidRPr="0086483C">
              <w:rPr>
                <w:rFonts w:ascii="Arial" w:hAnsi="Arial" w:cs="Arial"/>
                <w:b/>
                <w:bCs/>
                <w:color w:val="002C77"/>
                <w:sz w:val="18"/>
                <w:szCs w:val="18"/>
              </w:rPr>
              <w:t>Shareholder Proposal Regarding Governance Systems for Climate and Environmental Impacts</w:t>
            </w:r>
          </w:p>
          <w:p w14:paraId="63D3AEDA" w14:textId="1FE132AF" w:rsidR="00F02189" w:rsidRDefault="00F02189" w:rsidP="00A400FD">
            <w:pPr>
              <w:rPr>
                <w:rFonts w:ascii="Arial" w:hAnsi="Arial" w:cs="Arial"/>
                <w:color w:val="002C77"/>
                <w:sz w:val="18"/>
                <w:szCs w:val="18"/>
              </w:rPr>
            </w:pPr>
            <w:r>
              <w:rPr>
                <w:rFonts w:ascii="Arial" w:hAnsi="Arial" w:cs="Arial"/>
                <w:color w:val="002C77"/>
                <w:sz w:val="18"/>
                <w:szCs w:val="18"/>
              </w:rPr>
              <w:br/>
            </w:r>
            <w:r w:rsidRPr="0086483C">
              <w:rPr>
                <w:rFonts w:ascii="Arial" w:hAnsi="Arial" w:cs="Arial"/>
                <w:i/>
                <w:iCs/>
                <w:color w:val="002C77"/>
                <w:sz w:val="18"/>
                <w:szCs w:val="18"/>
              </w:rPr>
              <w:t>(Environmental)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E7D61F" w14:textId="799C6798" w:rsidR="00F02189" w:rsidRDefault="00F02189" w:rsidP="00A400FD">
            <w:pPr>
              <w:rPr>
                <w:rFonts w:ascii="Arial" w:hAnsi="Arial" w:cs="Arial"/>
                <w:b/>
                <w:bCs/>
                <w:color w:val="002C77"/>
                <w:sz w:val="18"/>
                <w:szCs w:val="18"/>
              </w:rPr>
            </w:pPr>
            <w:r>
              <w:rPr>
                <w:rFonts w:ascii="Arial" w:hAnsi="Arial" w:cs="Arial"/>
                <w:b/>
                <w:bCs/>
                <w:color w:val="002C77"/>
                <w:sz w:val="18"/>
                <w:szCs w:val="18"/>
              </w:rPr>
              <w:t xml:space="preserve">Against </w:t>
            </w:r>
            <w:r>
              <w:rPr>
                <w:rFonts w:ascii="Arial" w:hAnsi="Arial" w:cs="Arial"/>
                <w:b/>
                <w:bCs/>
                <w:color w:val="002C77"/>
                <w:sz w:val="18"/>
                <w:szCs w:val="18"/>
              </w:rPr>
              <w:br/>
            </w:r>
            <w:r w:rsidRPr="00127E00">
              <w:rPr>
                <w:rFonts w:ascii="Arial" w:hAnsi="Arial" w:cs="Arial"/>
                <w:i/>
                <w:color w:val="002C77"/>
                <w:sz w:val="18"/>
                <w:szCs w:val="18"/>
              </w:rPr>
              <w:t>(</w:t>
            </w:r>
            <w:r w:rsidRPr="00D47139">
              <w:rPr>
                <w:rFonts w:ascii="Arial" w:hAnsi="Arial" w:cs="Arial"/>
                <w:i/>
                <w:color w:val="002C77"/>
                <w:sz w:val="18"/>
                <w:szCs w:val="18"/>
              </w:rPr>
              <w:t>No - A vote AGAINST this shareholder proposal is applied. While manager sympathise with some of the concerns raised by the proponent, this matter is already under investigation by the relevant authorities. In its disclosure documents, Enbridge has outlined the principles governing its behaviour and standards of conduct and discloses an oversight structure in place for adherence to these principles. The proponent's request that the company produce a report examining how its governance systems are functioning in light of the alleged claims is vague and does not address how Enbridge should go about producing the report.)</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hideMark/>
          </w:tcPr>
          <w:p w14:paraId="57962EF8" w14:textId="77777777" w:rsidR="00F02189" w:rsidRPr="00D47139" w:rsidRDefault="00F02189" w:rsidP="00D47139">
            <w:pPr>
              <w:rPr>
                <w:rFonts w:ascii="Arial" w:hAnsi="Arial" w:cs="Arial"/>
                <w:color w:val="002C77"/>
                <w:sz w:val="18"/>
                <w:szCs w:val="18"/>
              </w:rPr>
            </w:pPr>
            <w:r w:rsidRPr="00D47139">
              <w:rPr>
                <w:rFonts w:ascii="Arial" w:hAnsi="Arial" w:cs="Arial"/>
                <w:b/>
                <w:color w:val="002C77"/>
                <w:sz w:val="18"/>
                <w:szCs w:val="18"/>
              </w:rPr>
              <w:t>3.2% Support</w:t>
            </w:r>
            <w:r w:rsidRPr="00127E00">
              <w:rPr>
                <w:rFonts w:ascii="Arial" w:hAnsi="Arial" w:cs="Arial"/>
                <w:b/>
                <w:color w:val="002C77"/>
                <w:sz w:val="18"/>
                <w:szCs w:val="18"/>
              </w:rPr>
              <w:br/>
            </w:r>
            <w:r w:rsidRPr="00D47139">
              <w:rPr>
                <w:rFonts w:ascii="Arial" w:hAnsi="Arial" w:cs="Arial"/>
                <w:color w:val="002C77"/>
                <w:sz w:val="18"/>
                <w:szCs w:val="18"/>
              </w:rPr>
              <w:t xml:space="preserve">Proposal did not pass. </w:t>
            </w:r>
          </w:p>
          <w:p w14:paraId="3B0E3B3A" w14:textId="3794BD3B" w:rsidR="00F02189" w:rsidRDefault="00F02189" w:rsidP="00D47139">
            <w:pPr>
              <w:rPr>
                <w:rFonts w:ascii="Arial" w:hAnsi="Arial" w:cs="Arial"/>
                <w:color w:val="002C77"/>
                <w:sz w:val="18"/>
                <w:szCs w:val="18"/>
              </w:rPr>
            </w:pPr>
            <w:r w:rsidRPr="00D47139">
              <w:rPr>
                <w:rFonts w:ascii="Arial" w:hAnsi="Arial" w:cs="Arial"/>
                <w:color w:val="002C77"/>
                <w:sz w:val="18"/>
                <w:szCs w:val="18"/>
              </w:rPr>
              <w:t>(Starting next year, the manager will file shareholder resolutions to pressure companies that do not present ambitious and credible transition plans for a shareholder vote, likely in collaboration with Climate Action 100+.)</w:t>
            </w:r>
          </w:p>
        </w:tc>
      </w:tr>
      <w:tr w:rsidR="00F02189" w:rsidRPr="00127E00" w14:paraId="3583826F" w14:textId="77777777" w:rsidTr="00F02189">
        <w:trPr>
          <w:trHeight w:val="1935"/>
        </w:trPr>
        <w:tc>
          <w:tcPr>
            <w:tcW w:w="1387" w:type="dxa"/>
            <w:vMerge/>
            <w:tcBorders>
              <w:left w:val="single" w:sz="8" w:space="0" w:color="BFBFBF"/>
              <w:right w:val="nil"/>
            </w:tcBorders>
            <w:shd w:val="clear" w:color="auto" w:fill="F2F2F2" w:themeFill="background1" w:themeFillShade="F2"/>
            <w:vAlign w:val="center"/>
          </w:tcPr>
          <w:p w14:paraId="0AA46106" w14:textId="77777777" w:rsidR="00F02189" w:rsidRDefault="00F02189" w:rsidP="00A400FD">
            <w:pPr>
              <w:rPr>
                <w:rFonts w:ascii="Arial" w:hAnsi="Arial" w:cs="Arial"/>
                <w:b/>
                <w:bCs/>
                <w:color w:val="002C77"/>
                <w:sz w:val="18"/>
                <w:szCs w:val="18"/>
              </w:rPr>
            </w:pPr>
          </w:p>
        </w:tc>
        <w:tc>
          <w:tcPr>
            <w:tcW w:w="1778" w:type="dxa"/>
            <w:vMerge/>
            <w:tcBorders>
              <w:left w:val="nil"/>
              <w:right w:val="single" w:sz="4" w:space="0" w:color="BFBFBF" w:themeColor="background1" w:themeShade="BF"/>
            </w:tcBorders>
            <w:vAlign w:val="center"/>
          </w:tcPr>
          <w:p w14:paraId="5F2AE80A" w14:textId="1150338E" w:rsidR="00F02189" w:rsidRDefault="00F02189" w:rsidP="00A400FD">
            <w:pPr>
              <w:rPr>
                <w:rFonts w:ascii="Arial" w:hAnsi="Arial" w:cs="Arial"/>
                <w:b/>
                <w:color w:val="002C77"/>
                <w:sz w:val="18"/>
                <w:szCs w:val="18"/>
              </w:rPr>
            </w:pP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49EB4" w14:textId="201D520B" w:rsidR="00F02189" w:rsidRDefault="00F02189" w:rsidP="00A400FD">
            <w:pPr>
              <w:rPr>
                <w:rFonts w:ascii="Arial" w:hAnsi="Arial" w:cs="Arial"/>
                <w:b/>
                <w:color w:val="002C77"/>
                <w:sz w:val="18"/>
                <w:szCs w:val="18"/>
              </w:rPr>
            </w:pPr>
            <w:r w:rsidRPr="00D47139">
              <w:rPr>
                <w:rFonts w:ascii="Arial" w:hAnsi="Arial" w:cs="Arial"/>
                <w:color w:val="002C77"/>
                <w:sz w:val="18"/>
                <w:szCs w:val="18"/>
              </w:rPr>
              <w:t>08/05/2024</w:t>
            </w:r>
            <w:r>
              <w:rPr>
                <w:rFonts w:ascii="Arial" w:hAnsi="Arial" w:cs="Arial"/>
                <w:color w:val="002C77"/>
                <w:sz w:val="18"/>
                <w:szCs w:val="18"/>
              </w:rPr>
              <w:t xml:space="preserve">: </w:t>
            </w:r>
            <w:r w:rsidRPr="00D47139">
              <w:rPr>
                <w:rFonts w:ascii="Arial" w:hAnsi="Arial" w:cs="Arial"/>
                <w:b/>
                <w:color w:val="002C77"/>
                <w:sz w:val="18"/>
                <w:szCs w:val="18"/>
              </w:rPr>
              <w:t>Shareholder Proposal Regarding Disclosure of All Material Scope 3 Emissions</w:t>
            </w:r>
          </w:p>
          <w:p w14:paraId="0E19156B" w14:textId="77777777" w:rsidR="00F02189" w:rsidRDefault="00F02189" w:rsidP="00A400FD">
            <w:pPr>
              <w:rPr>
                <w:rFonts w:ascii="Arial" w:hAnsi="Arial" w:cs="Arial"/>
                <w:color w:val="002C77"/>
                <w:sz w:val="18"/>
                <w:szCs w:val="18"/>
              </w:rPr>
            </w:pPr>
            <w:r w:rsidRPr="00723495">
              <w:rPr>
                <w:rFonts w:ascii="Arial" w:hAnsi="Arial" w:cs="Arial"/>
                <w:i/>
                <w:iCs/>
                <w:color w:val="002C77"/>
                <w:sz w:val="18"/>
                <w:szCs w:val="18"/>
              </w:rPr>
              <w:t>(Environment)</w:t>
            </w:r>
            <w:r>
              <w:rPr>
                <w:rFonts w:ascii="Arial" w:hAnsi="Arial" w:cs="Arial"/>
                <w:b/>
                <w:color w:val="002C77"/>
                <w:sz w:val="18"/>
                <w:szCs w:val="18"/>
              </w:rPr>
              <w:t xml:space="preserve"> </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1933F" w14:textId="3FF77BC1" w:rsidR="00F02189" w:rsidRDefault="00F02189" w:rsidP="00A400FD">
            <w:pPr>
              <w:rPr>
                <w:rFonts w:ascii="Arial" w:hAnsi="Arial" w:cs="Arial"/>
                <w:b/>
                <w:color w:val="002C77"/>
                <w:sz w:val="18"/>
                <w:szCs w:val="18"/>
              </w:rPr>
            </w:pPr>
            <w:r>
              <w:rPr>
                <w:rFonts w:ascii="Arial" w:hAnsi="Arial" w:cs="Arial"/>
                <w:b/>
                <w:color w:val="002C77"/>
                <w:sz w:val="18"/>
                <w:szCs w:val="18"/>
              </w:rPr>
              <w:t>For</w:t>
            </w:r>
            <w:r w:rsidRPr="00D47139">
              <w:rPr>
                <w:rFonts w:ascii="Arial" w:hAnsi="Arial" w:cs="Arial"/>
                <w:b/>
                <w:color w:val="002C77"/>
                <w:sz w:val="18"/>
                <w:szCs w:val="18"/>
              </w:rPr>
              <w:t xml:space="preserve"> </w:t>
            </w:r>
          </w:p>
          <w:p w14:paraId="796E5375" w14:textId="458DAA31" w:rsidR="00F02189" w:rsidRPr="00286ED3" w:rsidRDefault="00F02189" w:rsidP="00A400FD">
            <w:pPr>
              <w:rPr>
                <w:rFonts w:ascii="Arial" w:hAnsi="Arial" w:cs="Arial"/>
                <w:i/>
                <w:color w:val="002C77"/>
                <w:sz w:val="18"/>
                <w:szCs w:val="18"/>
              </w:rPr>
            </w:pPr>
            <w:r w:rsidRPr="00286ED3">
              <w:rPr>
                <w:rFonts w:ascii="Arial" w:hAnsi="Arial" w:cs="Arial"/>
                <w:i/>
                <w:color w:val="002C77"/>
                <w:sz w:val="18"/>
                <w:szCs w:val="18"/>
              </w:rPr>
              <w:t>(</w:t>
            </w:r>
            <w:r w:rsidRPr="00D47139">
              <w:rPr>
                <w:rFonts w:ascii="Arial" w:hAnsi="Arial" w:cs="Arial"/>
                <w:i/>
                <w:color w:val="002C77"/>
                <w:sz w:val="18"/>
                <w:szCs w:val="18"/>
              </w:rPr>
              <w:t>No - A vote FOR this proposal is applied as the manager expects companies to introduce credible energy transition plans, consistent with the Paris goals of limiting the global average temperature increase to 1.5 C. This includes the disclosure of scope 1, 2 and material scope 3 GHG emission.)</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tcPr>
          <w:p w14:paraId="2838A1C3" w14:textId="5F41880C" w:rsidR="00F02189" w:rsidRPr="00D47139" w:rsidRDefault="00F02189" w:rsidP="00D47139">
            <w:pPr>
              <w:rPr>
                <w:rFonts w:ascii="Arial" w:hAnsi="Arial" w:cs="Arial"/>
                <w:i/>
                <w:color w:val="002C77"/>
                <w:sz w:val="18"/>
                <w:szCs w:val="18"/>
              </w:rPr>
            </w:pPr>
            <w:r w:rsidRPr="00D47139">
              <w:rPr>
                <w:rFonts w:ascii="Arial" w:hAnsi="Arial" w:cs="Arial"/>
                <w:b/>
                <w:color w:val="002C77"/>
                <w:sz w:val="18"/>
                <w:szCs w:val="18"/>
              </w:rPr>
              <w:t>27.3% Support</w:t>
            </w:r>
            <w:r w:rsidRPr="00127E00">
              <w:rPr>
                <w:rFonts w:ascii="Arial" w:hAnsi="Arial" w:cs="Arial"/>
                <w:b/>
                <w:color w:val="002C77"/>
                <w:sz w:val="18"/>
                <w:szCs w:val="18"/>
              </w:rPr>
              <w:br/>
            </w:r>
            <w:r w:rsidRPr="00D47139">
              <w:rPr>
                <w:rFonts w:ascii="Arial" w:hAnsi="Arial" w:cs="Arial"/>
                <w:i/>
                <w:color w:val="002C77"/>
                <w:sz w:val="18"/>
                <w:szCs w:val="18"/>
              </w:rPr>
              <w:t xml:space="preserve">Proposal did not pass. </w:t>
            </w:r>
          </w:p>
          <w:p w14:paraId="1884B0E8" w14:textId="1FA28664" w:rsidR="00F02189" w:rsidRPr="00127E00" w:rsidRDefault="00F02189" w:rsidP="00D47139">
            <w:pPr>
              <w:rPr>
                <w:rFonts w:ascii="Arial" w:hAnsi="Arial" w:cs="Arial"/>
                <w:b/>
                <w:color w:val="002C77"/>
                <w:sz w:val="18"/>
                <w:szCs w:val="18"/>
              </w:rPr>
            </w:pPr>
            <w:r w:rsidRPr="00D47139">
              <w:rPr>
                <w:rFonts w:ascii="Arial" w:hAnsi="Arial" w:cs="Arial"/>
                <w:i/>
                <w:color w:val="002C77"/>
                <w:sz w:val="18"/>
                <w:szCs w:val="18"/>
              </w:rPr>
              <w:t>(Starting next year, the manager will increase pressure on companies that fail to present suitably ambitious and credible transition plans for a shareholder vote by filing shareholder resolutions, likely in conjunction with Climate Action 100+.)</w:t>
            </w:r>
          </w:p>
        </w:tc>
      </w:tr>
      <w:tr w:rsidR="00F02189" w:rsidRPr="00127E00" w14:paraId="222975E7" w14:textId="77777777" w:rsidTr="00823801">
        <w:trPr>
          <w:trHeight w:val="1935"/>
        </w:trPr>
        <w:tc>
          <w:tcPr>
            <w:tcW w:w="1387" w:type="dxa"/>
            <w:vMerge/>
            <w:tcBorders>
              <w:left w:val="single" w:sz="8" w:space="0" w:color="BFBFBF"/>
              <w:bottom w:val="single" w:sz="8" w:space="0" w:color="BFBFBF"/>
              <w:right w:val="nil"/>
            </w:tcBorders>
            <w:shd w:val="clear" w:color="auto" w:fill="F2F2F2" w:themeFill="background1" w:themeFillShade="F2"/>
            <w:vAlign w:val="center"/>
          </w:tcPr>
          <w:p w14:paraId="75B8E543" w14:textId="77777777" w:rsidR="00F02189" w:rsidRDefault="00F02189" w:rsidP="00A400FD">
            <w:pPr>
              <w:rPr>
                <w:rFonts w:ascii="Arial" w:hAnsi="Arial" w:cs="Arial"/>
                <w:b/>
                <w:bCs/>
                <w:color w:val="002C77"/>
                <w:sz w:val="18"/>
                <w:szCs w:val="18"/>
              </w:rPr>
            </w:pPr>
          </w:p>
        </w:tc>
        <w:tc>
          <w:tcPr>
            <w:tcW w:w="1778" w:type="dxa"/>
            <w:tcBorders>
              <w:left w:val="nil"/>
              <w:right w:val="single" w:sz="4" w:space="0" w:color="BFBFBF" w:themeColor="background1" w:themeShade="BF"/>
            </w:tcBorders>
            <w:vAlign w:val="center"/>
          </w:tcPr>
          <w:p w14:paraId="51404189" w14:textId="7B0BA3AE" w:rsidR="00F02189" w:rsidRDefault="00F02189" w:rsidP="00A400FD">
            <w:pPr>
              <w:rPr>
                <w:rFonts w:ascii="Arial" w:hAnsi="Arial" w:cs="Arial"/>
                <w:b/>
                <w:color w:val="002C77"/>
                <w:sz w:val="18"/>
                <w:szCs w:val="18"/>
              </w:rPr>
            </w:pPr>
            <w:r w:rsidRPr="00F02189">
              <w:rPr>
                <w:rFonts w:ascii="Arial" w:hAnsi="Arial" w:cs="Arial"/>
                <w:b/>
                <w:color w:val="002C77"/>
                <w:sz w:val="18"/>
                <w:szCs w:val="18"/>
              </w:rPr>
              <w:t xml:space="preserve">Canadian Pacific Kansas City Limited </w:t>
            </w:r>
            <w:r>
              <w:rPr>
                <w:rFonts w:ascii="Arial" w:hAnsi="Arial" w:cs="Arial"/>
                <w:b/>
                <w:color w:val="002C77"/>
                <w:sz w:val="18"/>
                <w:szCs w:val="18"/>
              </w:rPr>
              <w:br/>
            </w:r>
            <w:r w:rsidRPr="00F02189">
              <w:rPr>
                <w:rFonts w:ascii="Arial" w:hAnsi="Arial" w:cs="Arial"/>
                <w:bCs/>
                <w:color w:val="002C77"/>
                <w:sz w:val="18"/>
                <w:szCs w:val="18"/>
              </w:rPr>
              <w:t>(4.0%)</w:t>
            </w: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F0AE6" w14:textId="446A41C0" w:rsidR="00F02189" w:rsidRPr="00D47139" w:rsidRDefault="00F02189" w:rsidP="00A400FD">
            <w:pPr>
              <w:rPr>
                <w:rFonts w:ascii="Arial" w:hAnsi="Arial" w:cs="Arial"/>
                <w:color w:val="002C77"/>
                <w:sz w:val="18"/>
                <w:szCs w:val="18"/>
              </w:rPr>
            </w:pPr>
            <w:r w:rsidRPr="00F02189">
              <w:rPr>
                <w:rFonts w:ascii="Arial" w:hAnsi="Arial" w:cs="Arial"/>
                <w:color w:val="002C77"/>
                <w:sz w:val="18"/>
                <w:szCs w:val="18"/>
              </w:rPr>
              <w:t xml:space="preserve">24/4/2024: </w:t>
            </w:r>
            <w:r w:rsidRPr="00F02189">
              <w:rPr>
                <w:rFonts w:ascii="Arial" w:hAnsi="Arial" w:cs="Arial"/>
                <w:b/>
                <w:bCs/>
                <w:color w:val="002C77"/>
                <w:sz w:val="18"/>
                <w:szCs w:val="18"/>
              </w:rPr>
              <w:t>Shareholder Proposal Regarding Paid Sick Leave</w:t>
            </w:r>
            <w:r>
              <w:rPr>
                <w:rFonts w:ascii="Arial" w:hAnsi="Arial" w:cs="Arial"/>
                <w:b/>
                <w:bCs/>
                <w:color w:val="002C77"/>
                <w:sz w:val="18"/>
                <w:szCs w:val="18"/>
              </w:rPr>
              <w:br/>
            </w:r>
            <w:r w:rsidRPr="00F02189">
              <w:rPr>
                <w:rFonts w:ascii="Arial" w:hAnsi="Arial" w:cs="Arial"/>
                <w:color w:val="002C77"/>
                <w:sz w:val="18"/>
                <w:szCs w:val="18"/>
              </w:rPr>
              <w:br/>
              <w:t>(Social)</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DA11F5" w14:textId="77777777" w:rsidR="00F02189" w:rsidRDefault="00F02189" w:rsidP="00F02189">
            <w:pPr>
              <w:rPr>
                <w:rFonts w:ascii="Arial" w:hAnsi="Arial" w:cs="Arial"/>
                <w:b/>
                <w:color w:val="002C77"/>
                <w:sz w:val="18"/>
                <w:szCs w:val="18"/>
              </w:rPr>
            </w:pPr>
            <w:r>
              <w:rPr>
                <w:rFonts w:ascii="Arial" w:hAnsi="Arial" w:cs="Arial"/>
                <w:b/>
                <w:color w:val="002C77"/>
                <w:sz w:val="18"/>
                <w:szCs w:val="18"/>
              </w:rPr>
              <w:t>For</w:t>
            </w:r>
            <w:r w:rsidRPr="00D47139">
              <w:rPr>
                <w:rFonts w:ascii="Arial" w:hAnsi="Arial" w:cs="Arial"/>
                <w:b/>
                <w:color w:val="002C77"/>
                <w:sz w:val="18"/>
                <w:szCs w:val="18"/>
              </w:rPr>
              <w:t xml:space="preserve"> </w:t>
            </w:r>
          </w:p>
          <w:p w14:paraId="26F1E323" w14:textId="67073DD0" w:rsidR="00F02189" w:rsidRDefault="00F02189" w:rsidP="00F02189">
            <w:pPr>
              <w:rPr>
                <w:rFonts w:ascii="Arial" w:hAnsi="Arial" w:cs="Arial"/>
                <w:b/>
                <w:color w:val="002C77"/>
                <w:sz w:val="18"/>
                <w:szCs w:val="18"/>
              </w:rPr>
            </w:pPr>
            <w:r w:rsidRPr="00286ED3">
              <w:rPr>
                <w:rFonts w:ascii="Arial" w:hAnsi="Arial" w:cs="Arial"/>
                <w:i/>
                <w:color w:val="002C77"/>
                <w:sz w:val="18"/>
                <w:szCs w:val="18"/>
              </w:rPr>
              <w:t>(</w:t>
            </w:r>
            <w:r w:rsidRPr="00F02189">
              <w:rPr>
                <w:rFonts w:ascii="Arial" w:hAnsi="Arial" w:cs="Arial"/>
                <w:i/>
                <w:color w:val="002C77"/>
                <w:sz w:val="18"/>
                <w:szCs w:val="18"/>
              </w:rPr>
              <w:t>No - A vote in favour is applied as this issue may pose a real health risk to employees, which may affect employee retention, and it is important that the company considers these risks and what steps they can take to help their employees.)</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tcPr>
          <w:p w14:paraId="2A7C134C" w14:textId="1E422E56" w:rsidR="00356F7D" w:rsidRPr="00356F7D" w:rsidRDefault="00F02189" w:rsidP="00356F7D">
            <w:pPr>
              <w:rPr>
                <w:rFonts w:ascii="Arial" w:hAnsi="Arial" w:cs="Arial"/>
                <w:i/>
                <w:color w:val="002C77"/>
                <w:sz w:val="18"/>
                <w:szCs w:val="18"/>
              </w:rPr>
            </w:pPr>
            <w:r w:rsidRPr="00F02189">
              <w:rPr>
                <w:rFonts w:ascii="Arial" w:hAnsi="Arial" w:cs="Arial"/>
                <w:b/>
                <w:color w:val="002C77"/>
                <w:sz w:val="18"/>
                <w:szCs w:val="18"/>
              </w:rPr>
              <w:t>13.4% Support</w:t>
            </w:r>
            <w:r w:rsidRPr="00127E00">
              <w:rPr>
                <w:rFonts w:ascii="Arial" w:hAnsi="Arial" w:cs="Arial"/>
                <w:b/>
                <w:color w:val="002C77"/>
                <w:sz w:val="18"/>
                <w:szCs w:val="18"/>
              </w:rPr>
              <w:br/>
            </w:r>
            <w:r w:rsidRPr="00D47139">
              <w:rPr>
                <w:rFonts w:ascii="Arial" w:hAnsi="Arial" w:cs="Arial"/>
                <w:i/>
                <w:color w:val="002C77"/>
                <w:sz w:val="18"/>
                <w:szCs w:val="18"/>
              </w:rPr>
              <w:t xml:space="preserve">Proposal did not pass. </w:t>
            </w:r>
            <w:r w:rsidR="00356F7D" w:rsidRPr="00356F7D">
              <w:rPr>
                <w:rFonts w:ascii="Arial" w:hAnsi="Arial" w:cs="Arial"/>
                <w:i/>
                <w:color w:val="002C77"/>
                <w:sz w:val="18"/>
                <w:szCs w:val="18"/>
              </w:rPr>
              <w:t xml:space="preserve"> </w:t>
            </w:r>
          </w:p>
          <w:p w14:paraId="74FD06EC" w14:textId="77777777" w:rsidR="00356F7D" w:rsidRPr="00356F7D" w:rsidRDefault="00356F7D" w:rsidP="00356F7D">
            <w:pPr>
              <w:rPr>
                <w:rFonts w:ascii="Arial" w:hAnsi="Arial" w:cs="Arial"/>
                <w:i/>
                <w:color w:val="002C77"/>
                <w:sz w:val="18"/>
                <w:szCs w:val="18"/>
              </w:rPr>
            </w:pPr>
            <w:r w:rsidRPr="00356F7D">
              <w:rPr>
                <w:rFonts w:ascii="Arial" w:hAnsi="Arial" w:cs="Arial"/>
                <w:i/>
                <w:color w:val="002C77"/>
                <w:sz w:val="18"/>
                <w:szCs w:val="18"/>
              </w:rPr>
              <w:t xml:space="preserve">(The background to this voting decision begins in 2022. Human capital issues represent risk to a company’s operations, whether it be through heightened attrition or decreased productivity. In 2022, manager held a series of engagements and signed investor letters directed at companies that lacked paid sick leave and could benefit from providing it. In the latter half of that year, manager zeroed in on the railway industry given the unique situation that the industry was facing. Throughout 2022, hundreds of thousands of railway workers were in the midst of negotiating contract terms with the largest railway companies in the US to improve working conditions. The salient point of contention was that around the lack of paid sick leave. However, those negotiations fell flat. This was relevant to us as investors because the contention nearly led to a nationwide strike that would have crippled the nation’s supply chain and posed a material systemic risk. </w:t>
            </w:r>
          </w:p>
          <w:p w14:paraId="29FF9468" w14:textId="77777777" w:rsidR="00356F7D" w:rsidRPr="00356F7D" w:rsidRDefault="00356F7D" w:rsidP="00356F7D">
            <w:pPr>
              <w:rPr>
                <w:rFonts w:ascii="Arial" w:hAnsi="Arial" w:cs="Arial"/>
                <w:i/>
                <w:color w:val="002C77"/>
                <w:sz w:val="18"/>
                <w:szCs w:val="18"/>
              </w:rPr>
            </w:pPr>
            <w:r w:rsidRPr="00356F7D">
              <w:rPr>
                <w:rFonts w:ascii="Arial" w:hAnsi="Arial" w:cs="Arial"/>
                <w:i/>
                <w:color w:val="002C77"/>
                <w:sz w:val="18"/>
                <w:szCs w:val="18"/>
              </w:rPr>
              <w:t xml:space="preserve">Since the government-mediated deal excluded sick leave, Manager wrote to the four largest railway carriers in the US – Norfolk Southern, Union Pacific, BNSF, and CSX. Manager aggregated approximately 146 to 148 other investors per letter, with around US$1 trillion in additional assets under management, to come on board as signatories. In the letter manager </w:t>
            </w:r>
            <w:r w:rsidRPr="00356F7D">
              <w:rPr>
                <w:rFonts w:ascii="Arial" w:hAnsi="Arial" w:cs="Arial"/>
                <w:i/>
                <w:color w:val="002C77"/>
                <w:sz w:val="18"/>
                <w:szCs w:val="18"/>
              </w:rPr>
              <w:lastRenderedPageBreak/>
              <w:t xml:space="preserve">specified the importance of paid sick leave in the face of post-pandemic labour dynamics as well the types of disclosures investors would find helpful, such as the types of benefits available, the usage of such benefits, employee eligibility criteria, and others. Manager had correspondence with CSX and Norfolk Southern via email and have maintained an ongoing dialogue. </w:t>
            </w:r>
          </w:p>
          <w:p w14:paraId="28A3776E" w14:textId="4CED193F" w:rsidR="00F02189" w:rsidRPr="00D47139" w:rsidRDefault="00356F7D" w:rsidP="00356F7D">
            <w:pPr>
              <w:rPr>
                <w:rFonts w:ascii="Arial" w:hAnsi="Arial" w:cs="Arial"/>
                <w:b/>
                <w:color w:val="002C77"/>
                <w:sz w:val="18"/>
                <w:szCs w:val="18"/>
              </w:rPr>
            </w:pPr>
            <w:r w:rsidRPr="00356F7D">
              <w:rPr>
                <w:rFonts w:ascii="Arial" w:hAnsi="Arial" w:cs="Arial"/>
                <w:i/>
                <w:color w:val="002C77"/>
                <w:sz w:val="18"/>
                <w:szCs w:val="18"/>
              </w:rPr>
              <w:t>Eventually, one by one, the company’s manager contacted reignited negotiations with their workforces. Those negotiations led to deals being struck by three out of the four railways –leading to thousands of railway workers obtaining paid sick leave as a benefit. While Canadian Pacific Kansas City was not one of the companies manager wrote to, manager will continue to support shareholder resolutions requesting paid sick leave as we believe that this issue is financially material for these companies.)</w:t>
            </w:r>
          </w:p>
        </w:tc>
      </w:tr>
      <w:tr w:rsidR="007B4BA9" w14:paraId="76ABA393" w14:textId="77777777" w:rsidTr="00F02189">
        <w:trPr>
          <w:trHeight w:val="688"/>
        </w:trPr>
        <w:tc>
          <w:tcPr>
            <w:tcW w:w="1387" w:type="dxa"/>
            <w:tcBorders>
              <w:top w:val="single" w:sz="4" w:space="0" w:color="FFFFFF" w:themeColor="background1"/>
              <w:left w:val="single" w:sz="8" w:space="0" w:color="BFBFBF"/>
              <w:bottom w:val="single" w:sz="4" w:space="0" w:color="FFFFFF" w:themeColor="background1"/>
              <w:right w:val="single" w:sz="4" w:space="0" w:color="FFFFFF" w:themeColor="background1"/>
            </w:tcBorders>
            <w:shd w:val="clear" w:color="auto" w:fill="00B0F0"/>
            <w:vAlign w:val="center"/>
          </w:tcPr>
          <w:p w14:paraId="1F8EC6B0"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lastRenderedPageBreak/>
              <w:t>Fund</w:t>
            </w:r>
          </w:p>
        </w:tc>
        <w:tc>
          <w:tcPr>
            <w:tcW w:w="17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4369193E" w14:textId="77777777" w:rsidR="00044BFF" w:rsidRPr="00127E00" w:rsidRDefault="00044BFF" w:rsidP="00A400FD">
            <w:pPr>
              <w:rPr>
                <w:rFonts w:ascii="Arial" w:hAnsi="Arial" w:cs="Arial"/>
                <w:b/>
                <w:color w:val="002C77"/>
                <w:sz w:val="18"/>
                <w:szCs w:val="18"/>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31FA280E"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 xml:space="preserve">Meeting Date -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5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vAlign w:val="center"/>
          </w:tcPr>
          <w:p w14:paraId="64DF7454" w14:textId="77777777" w:rsidR="00044BFF" w:rsidRDefault="00044BFF" w:rsidP="00A400FD">
            <w:pPr>
              <w:rPr>
                <w:rFonts w:ascii="Arial" w:hAnsi="Arial" w:cs="Arial"/>
                <w:b/>
                <w:bCs/>
                <w:color w:val="002C77"/>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(Communication of vote against management - Rationale if available)</w:t>
            </w:r>
          </w:p>
        </w:tc>
        <w:tc>
          <w:tcPr>
            <w:tcW w:w="4182" w:type="dxa"/>
            <w:tcBorders>
              <w:top w:val="single" w:sz="4" w:space="0" w:color="FFFFFF" w:themeColor="background1"/>
              <w:left w:val="single" w:sz="4" w:space="0" w:color="FFFFFF" w:themeColor="background1"/>
              <w:bottom w:val="single" w:sz="4" w:space="0" w:color="FFFFFF" w:themeColor="background1"/>
              <w:right w:val="single" w:sz="8" w:space="0" w:color="BFBFBF"/>
            </w:tcBorders>
            <w:shd w:val="clear" w:color="auto" w:fill="00B0F0"/>
            <w:vAlign w:val="center"/>
          </w:tcPr>
          <w:p w14:paraId="6B7EB326" w14:textId="77777777" w:rsidR="00044BFF" w:rsidRDefault="00044BFF" w:rsidP="00A400FD">
            <w:pPr>
              <w:rPr>
                <w:rFonts w:ascii="Arial" w:hAnsi="Arial" w:cs="Arial"/>
                <w:color w:val="002C77"/>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if available)</w:t>
            </w:r>
          </w:p>
        </w:tc>
      </w:tr>
      <w:tr w:rsidR="007B4BA9" w14:paraId="4CCC27B1" w14:textId="77777777" w:rsidTr="00F02189">
        <w:trPr>
          <w:trHeight w:val="1545"/>
        </w:trPr>
        <w:tc>
          <w:tcPr>
            <w:tcW w:w="1387" w:type="dxa"/>
            <w:vMerge w:val="restart"/>
            <w:tcBorders>
              <w:top w:val="single" w:sz="4" w:space="0" w:color="FFFFFF" w:themeColor="background1"/>
              <w:left w:val="single" w:sz="8" w:space="0" w:color="BFBFBF"/>
              <w:bottom w:val="single" w:sz="8" w:space="0" w:color="BFBFBF"/>
              <w:right w:val="nil"/>
            </w:tcBorders>
            <w:shd w:val="clear" w:color="auto" w:fill="F2F2F2" w:themeFill="background1" w:themeFillShade="F2"/>
            <w:vAlign w:val="center"/>
            <w:hideMark/>
          </w:tcPr>
          <w:p w14:paraId="31AF3876" w14:textId="2D63BE5F" w:rsidR="00044BFF" w:rsidRDefault="00A510F7" w:rsidP="00A400FD">
            <w:pPr>
              <w:rPr>
                <w:rFonts w:ascii="Arial" w:hAnsi="Arial" w:cs="Arial"/>
                <w:b/>
                <w:bCs/>
                <w:color w:val="002C77"/>
                <w:sz w:val="18"/>
                <w:szCs w:val="18"/>
              </w:rPr>
            </w:pPr>
            <w:r w:rsidRPr="00A510F7">
              <w:rPr>
                <w:rFonts w:ascii="Arial" w:hAnsi="Arial" w:cs="Arial"/>
                <w:b/>
                <w:bCs/>
                <w:color w:val="002C77"/>
                <w:sz w:val="18"/>
                <w:szCs w:val="18"/>
              </w:rPr>
              <w:t>Mercer Passive Sustainable Global Equity UCITS CCF</w:t>
            </w:r>
          </w:p>
        </w:tc>
        <w:tc>
          <w:tcPr>
            <w:tcW w:w="1778" w:type="dxa"/>
            <w:tcBorders>
              <w:top w:val="single" w:sz="4" w:space="0" w:color="FFFFFF" w:themeColor="background1"/>
              <w:left w:val="nil"/>
              <w:bottom w:val="single" w:sz="4" w:space="0" w:color="BFBFBF" w:themeColor="background1" w:themeShade="BF"/>
              <w:right w:val="single" w:sz="4" w:space="0" w:color="BFBFBF" w:themeColor="background1" w:themeShade="BF"/>
            </w:tcBorders>
            <w:vAlign w:val="center"/>
            <w:hideMark/>
          </w:tcPr>
          <w:p w14:paraId="2A15DCA9" w14:textId="1CADFE8F" w:rsidR="00044BFF" w:rsidRDefault="00A510F7" w:rsidP="00A400FD">
            <w:pPr>
              <w:rPr>
                <w:rFonts w:ascii="Arial" w:hAnsi="Arial" w:cs="Arial"/>
                <w:color w:val="002C77"/>
                <w:sz w:val="18"/>
                <w:szCs w:val="18"/>
              </w:rPr>
            </w:pPr>
            <w:r w:rsidRPr="00A510F7">
              <w:rPr>
                <w:rFonts w:ascii="Arial" w:hAnsi="Arial" w:cs="Arial"/>
                <w:b/>
                <w:color w:val="002C77"/>
                <w:sz w:val="18"/>
                <w:szCs w:val="18"/>
              </w:rPr>
              <w:t>Apple Inc</w:t>
            </w:r>
            <w:r w:rsidR="00044BFF">
              <w:rPr>
                <w:rFonts w:ascii="Arial" w:hAnsi="Arial" w:cs="Arial"/>
                <w:color w:val="002C77"/>
                <w:sz w:val="18"/>
                <w:szCs w:val="18"/>
              </w:rPr>
              <w:br/>
            </w:r>
            <w:r w:rsidR="00044BFF" w:rsidRPr="00127E00">
              <w:rPr>
                <w:rFonts w:ascii="Arial" w:hAnsi="Arial" w:cs="Arial"/>
                <w:i/>
                <w:color w:val="002C77"/>
                <w:sz w:val="18"/>
                <w:szCs w:val="18"/>
              </w:rPr>
              <w:t>(</w:t>
            </w:r>
            <w:r>
              <w:rPr>
                <w:rFonts w:ascii="Arial" w:hAnsi="Arial" w:cs="Arial"/>
                <w:i/>
                <w:color w:val="002C77"/>
                <w:sz w:val="18"/>
                <w:szCs w:val="18"/>
              </w:rPr>
              <w:t>6</w:t>
            </w:r>
            <w:r w:rsidR="00044BFF" w:rsidRPr="00127E00">
              <w:rPr>
                <w:rFonts w:ascii="Arial" w:hAnsi="Arial" w:cs="Arial"/>
                <w:i/>
                <w:color w:val="002C77"/>
                <w:sz w:val="18"/>
                <w:szCs w:val="18"/>
              </w:rPr>
              <w:t>.</w:t>
            </w:r>
            <w:r>
              <w:rPr>
                <w:rFonts w:ascii="Arial" w:hAnsi="Arial" w:cs="Arial"/>
                <w:i/>
                <w:color w:val="002C77"/>
                <w:sz w:val="18"/>
                <w:szCs w:val="18"/>
              </w:rPr>
              <w:t>5</w:t>
            </w:r>
            <w:r w:rsidR="00044BFF" w:rsidRPr="00127E00">
              <w:rPr>
                <w:rFonts w:ascii="Arial" w:hAnsi="Arial" w:cs="Arial"/>
                <w:i/>
                <w:color w:val="002C77"/>
                <w:sz w:val="18"/>
                <w:szCs w:val="18"/>
              </w:rPr>
              <w:t>%)</w:t>
            </w:r>
          </w:p>
        </w:tc>
        <w:tc>
          <w:tcPr>
            <w:tcW w:w="252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BF1869" w14:textId="75C957EC" w:rsidR="00044BFF" w:rsidRDefault="00A510F7" w:rsidP="00A400FD">
            <w:pPr>
              <w:rPr>
                <w:rFonts w:ascii="Arial" w:hAnsi="Arial" w:cs="Arial"/>
                <w:color w:val="002C77"/>
                <w:sz w:val="18"/>
                <w:szCs w:val="18"/>
              </w:rPr>
            </w:pPr>
            <w:r w:rsidRPr="00A510F7">
              <w:rPr>
                <w:rFonts w:ascii="Arial" w:hAnsi="Arial" w:cs="Arial"/>
                <w:color w:val="002C77"/>
                <w:sz w:val="18"/>
                <w:szCs w:val="18"/>
              </w:rPr>
              <w:t>25/2/2025</w:t>
            </w:r>
            <w:r w:rsidR="00044BFF">
              <w:rPr>
                <w:rFonts w:ascii="Arial" w:hAnsi="Arial" w:cs="Arial"/>
                <w:color w:val="002C77"/>
                <w:sz w:val="18"/>
                <w:szCs w:val="18"/>
              </w:rPr>
              <w:t>:</w:t>
            </w:r>
            <w:r w:rsidRPr="00A510F7">
              <w:rPr>
                <w:rFonts w:ascii="Arial" w:hAnsi="Arial" w:cs="Arial"/>
                <w:b/>
                <w:bCs/>
                <w:color w:val="002C77"/>
                <w:sz w:val="18"/>
                <w:szCs w:val="18"/>
              </w:rPr>
              <w:t>Shareholder Proposal Regarding Abolishing Inclusion and Diversity Program and Policies</w:t>
            </w:r>
            <w:r w:rsidR="00044BFF">
              <w:rPr>
                <w:rFonts w:ascii="Arial" w:hAnsi="Arial" w:cs="Arial"/>
                <w:color w:val="002C77"/>
                <w:sz w:val="18"/>
                <w:szCs w:val="18"/>
              </w:rPr>
              <w:br/>
            </w:r>
            <w:r w:rsidR="00044BFF" w:rsidRPr="00807B87">
              <w:rPr>
                <w:rFonts w:ascii="Arial" w:hAnsi="Arial" w:cs="Arial"/>
                <w:i/>
                <w:iCs/>
                <w:color w:val="002C77"/>
                <w:sz w:val="18"/>
                <w:szCs w:val="18"/>
              </w:rPr>
              <w:t>(Social)</w:t>
            </w:r>
          </w:p>
        </w:tc>
        <w:tc>
          <w:tcPr>
            <w:tcW w:w="5013"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1845E3" w14:textId="31812EB1" w:rsidR="00044BFF" w:rsidRDefault="00044BFF" w:rsidP="00A400FD">
            <w:pPr>
              <w:rPr>
                <w:rFonts w:ascii="Arial" w:hAnsi="Arial" w:cs="Arial"/>
                <w:b/>
                <w:bCs/>
                <w:color w:val="002C77"/>
                <w:sz w:val="18"/>
                <w:szCs w:val="18"/>
              </w:rPr>
            </w:pPr>
            <w:r>
              <w:rPr>
                <w:rFonts w:ascii="Arial" w:hAnsi="Arial" w:cs="Arial"/>
                <w:b/>
                <w:bCs/>
                <w:color w:val="002C77"/>
                <w:sz w:val="18"/>
                <w:szCs w:val="18"/>
              </w:rPr>
              <w:t>Against</w:t>
            </w:r>
            <w:r>
              <w:rPr>
                <w:rFonts w:ascii="Arial" w:hAnsi="Arial" w:cs="Arial"/>
                <w:b/>
                <w:bCs/>
                <w:color w:val="002C77"/>
                <w:sz w:val="18"/>
                <w:szCs w:val="18"/>
              </w:rPr>
              <w:br/>
            </w:r>
            <w:r w:rsidRPr="00127E00">
              <w:rPr>
                <w:rFonts w:ascii="Arial" w:hAnsi="Arial" w:cs="Arial"/>
                <w:i/>
                <w:color w:val="002C77"/>
                <w:sz w:val="18"/>
                <w:szCs w:val="18"/>
              </w:rPr>
              <w:t>(</w:t>
            </w:r>
            <w:r w:rsidR="00A510F7" w:rsidRPr="00A510F7">
              <w:rPr>
                <w:rFonts w:ascii="Arial" w:hAnsi="Arial" w:cs="Arial"/>
                <w:i/>
                <w:color w:val="002C77"/>
                <w:sz w:val="18"/>
                <w:szCs w:val="18"/>
              </w:rPr>
              <w:t>No - The company provides several disclosures that relate to diversity and inclusion, and these disclosures appear to provide sufficient information for shareholders to evaluate the programs and policies in question. In addition, the company clearly provides its non-discrimination policies, it clearly discusses the board and management's role in oversight of the associated risks, and there do not appear to be any controversies related to employee diversity initiatives discriminating against employee groups at the company specifically.)</w:t>
            </w:r>
          </w:p>
        </w:tc>
        <w:tc>
          <w:tcPr>
            <w:tcW w:w="4182" w:type="dxa"/>
            <w:tcBorders>
              <w:top w:val="single" w:sz="4" w:space="0" w:color="FFFFFF" w:themeColor="background1"/>
              <w:left w:val="single" w:sz="4" w:space="0" w:color="BFBFBF" w:themeColor="background1" w:themeShade="BF"/>
              <w:bottom w:val="single" w:sz="4" w:space="0" w:color="BFBFBF" w:themeColor="background1" w:themeShade="BF"/>
              <w:right w:val="single" w:sz="8" w:space="0" w:color="BFBFBF"/>
            </w:tcBorders>
            <w:vAlign w:val="center"/>
            <w:hideMark/>
          </w:tcPr>
          <w:p w14:paraId="29AC6E07" w14:textId="794C78A8" w:rsidR="00A510F7" w:rsidRPr="00A510F7" w:rsidRDefault="00A510F7" w:rsidP="00A510F7">
            <w:pPr>
              <w:rPr>
                <w:rFonts w:ascii="Arial" w:hAnsi="Arial" w:cs="Arial"/>
                <w:color w:val="002C77"/>
                <w:sz w:val="18"/>
                <w:szCs w:val="18"/>
              </w:rPr>
            </w:pPr>
            <w:r w:rsidRPr="00A510F7">
              <w:rPr>
                <w:rFonts w:ascii="Arial" w:hAnsi="Arial" w:cs="Arial"/>
                <w:b/>
                <w:color w:val="002C77"/>
                <w:sz w:val="18"/>
                <w:szCs w:val="18"/>
              </w:rPr>
              <w:t>2.3% Support</w:t>
            </w:r>
            <w:r w:rsidR="00044BFF">
              <w:rPr>
                <w:rFonts w:ascii="Arial" w:hAnsi="Arial" w:cs="Arial"/>
                <w:color w:val="002C77"/>
                <w:sz w:val="18"/>
                <w:szCs w:val="18"/>
              </w:rPr>
              <w:br/>
            </w:r>
            <w:r w:rsidRPr="00A510F7">
              <w:rPr>
                <w:rFonts w:ascii="Arial" w:hAnsi="Arial" w:cs="Arial"/>
                <w:color w:val="002C77"/>
                <w:sz w:val="18"/>
                <w:szCs w:val="18"/>
              </w:rPr>
              <w:t xml:space="preserve">Proposal did not pass. </w:t>
            </w:r>
          </w:p>
          <w:p w14:paraId="3F3E1C30" w14:textId="21BBC10A" w:rsidR="00044BFF" w:rsidRDefault="00A510F7" w:rsidP="00A510F7">
            <w:pPr>
              <w:rPr>
                <w:rFonts w:ascii="Arial" w:hAnsi="Arial" w:cs="Arial"/>
                <w:color w:val="002C77"/>
                <w:sz w:val="18"/>
                <w:szCs w:val="18"/>
              </w:rPr>
            </w:pPr>
            <w:r w:rsidRPr="00A510F7">
              <w:rPr>
                <w:rFonts w:ascii="Arial" w:hAnsi="Arial" w:cs="Arial"/>
                <w:color w:val="002C77"/>
                <w:sz w:val="18"/>
                <w:szCs w:val="18"/>
              </w:rPr>
              <w:t>(Manager will continue to vote in line with their published policies and positions.)</w:t>
            </w:r>
          </w:p>
        </w:tc>
      </w:tr>
      <w:tr w:rsidR="007B4BA9" w14:paraId="63B4FE0D" w14:textId="77777777" w:rsidTr="00F2442E">
        <w:trPr>
          <w:trHeight w:val="1625"/>
        </w:trPr>
        <w:tc>
          <w:tcPr>
            <w:tcW w:w="1387" w:type="dxa"/>
            <w:vMerge/>
            <w:tcBorders>
              <w:top w:val="nil"/>
              <w:left w:val="single" w:sz="8" w:space="0" w:color="BFBFBF"/>
              <w:bottom w:val="single" w:sz="8" w:space="0" w:color="BFBFBF"/>
              <w:right w:val="nil"/>
            </w:tcBorders>
            <w:shd w:val="clear" w:color="auto" w:fill="F2F2F2" w:themeFill="background1" w:themeFillShade="F2"/>
            <w:vAlign w:val="center"/>
            <w:hideMark/>
          </w:tcPr>
          <w:p w14:paraId="4F1B8B5D" w14:textId="77777777" w:rsidR="00044BFF" w:rsidRDefault="00044BFF" w:rsidP="00A400FD">
            <w:pPr>
              <w:rPr>
                <w:rFonts w:ascii="Arial" w:hAnsi="Arial" w:cs="Arial"/>
                <w:b/>
                <w:bCs/>
                <w:color w:val="002C77"/>
                <w:sz w:val="18"/>
                <w:szCs w:val="18"/>
              </w:rPr>
            </w:pPr>
          </w:p>
        </w:tc>
        <w:tc>
          <w:tcPr>
            <w:tcW w:w="1778" w:type="dxa"/>
            <w:tcBorders>
              <w:top w:val="single" w:sz="4" w:space="0" w:color="BFBFBF" w:themeColor="background1" w:themeShade="BF"/>
              <w:left w:val="nil"/>
              <w:right w:val="single" w:sz="4" w:space="0" w:color="BFBFBF" w:themeColor="background1" w:themeShade="BF"/>
            </w:tcBorders>
            <w:vAlign w:val="center"/>
            <w:hideMark/>
          </w:tcPr>
          <w:p w14:paraId="6EBE555C" w14:textId="205653C1" w:rsidR="00044BFF" w:rsidRDefault="00044BFF" w:rsidP="00A400FD">
            <w:pPr>
              <w:rPr>
                <w:rFonts w:ascii="Arial" w:hAnsi="Arial" w:cs="Arial"/>
                <w:color w:val="002C77"/>
                <w:sz w:val="18"/>
                <w:szCs w:val="18"/>
              </w:rPr>
            </w:pPr>
            <w:r w:rsidRPr="00127E00">
              <w:rPr>
                <w:rFonts w:ascii="Arial" w:hAnsi="Arial" w:cs="Arial"/>
                <w:b/>
                <w:color w:val="002C77"/>
                <w:sz w:val="18"/>
                <w:szCs w:val="18"/>
              </w:rPr>
              <w:t>Microsoft Corporation</w:t>
            </w:r>
            <w:r>
              <w:rPr>
                <w:rFonts w:ascii="Arial" w:hAnsi="Arial" w:cs="Arial"/>
                <w:color w:val="002C77"/>
                <w:sz w:val="18"/>
                <w:szCs w:val="18"/>
              </w:rPr>
              <w:t xml:space="preserve"> </w:t>
            </w:r>
            <w:r>
              <w:rPr>
                <w:rFonts w:ascii="Arial" w:hAnsi="Arial" w:cs="Arial"/>
                <w:color w:val="002C77"/>
                <w:sz w:val="18"/>
                <w:szCs w:val="18"/>
              </w:rPr>
              <w:br/>
            </w:r>
            <w:r w:rsidRPr="00127E00">
              <w:rPr>
                <w:rFonts w:ascii="Arial" w:hAnsi="Arial" w:cs="Arial"/>
                <w:i/>
                <w:color w:val="002C77"/>
                <w:sz w:val="18"/>
                <w:szCs w:val="18"/>
              </w:rPr>
              <w:t>(</w:t>
            </w:r>
            <w:r w:rsidR="00A510F7">
              <w:rPr>
                <w:rFonts w:ascii="Arial" w:hAnsi="Arial" w:cs="Arial"/>
                <w:i/>
                <w:color w:val="002C77"/>
                <w:sz w:val="18"/>
                <w:szCs w:val="18"/>
              </w:rPr>
              <w:t>7</w:t>
            </w:r>
            <w:r w:rsidRPr="00127E00">
              <w:rPr>
                <w:rFonts w:ascii="Arial" w:hAnsi="Arial" w:cs="Arial"/>
                <w:i/>
                <w:color w:val="002C77"/>
                <w:sz w:val="18"/>
                <w:szCs w:val="18"/>
              </w:rPr>
              <w:t>.</w:t>
            </w:r>
            <w:r w:rsidR="00A510F7">
              <w:rPr>
                <w:rFonts w:ascii="Arial" w:hAnsi="Arial" w:cs="Arial"/>
                <w:i/>
                <w:color w:val="002C77"/>
                <w:sz w:val="18"/>
                <w:szCs w:val="18"/>
              </w:rPr>
              <w:t>0</w:t>
            </w:r>
            <w:r w:rsidRPr="00127E00">
              <w:rPr>
                <w:rFonts w:ascii="Arial" w:hAnsi="Arial" w:cs="Arial"/>
                <w:i/>
                <w:color w:val="002C77"/>
                <w:sz w:val="18"/>
                <w:szCs w:val="18"/>
              </w:rPr>
              <w:t>%)</w:t>
            </w:r>
          </w:p>
        </w:tc>
        <w:tc>
          <w:tcPr>
            <w:tcW w:w="2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906080" w14:textId="7053541E" w:rsidR="00A510F7" w:rsidRPr="00A510F7" w:rsidRDefault="00A510F7" w:rsidP="00A510F7">
            <w:pPr>
              <w:rPr>
                <w:rFonts w:ascii="Arial" w:hAnsi="Arial" w:cs="Arial"/>
                <w:b/>
                <w:bCs/>
                <w:color w:val="002C77"/>
                <w:sz w:val="18"/>
                <w:szCs w:val="18"/>
              </w:rPr>
            </w:pPr>
            <w:r w:rsidRPr="00A510F7">
              <w:rPr>
                <w:rFonts w:ascii="Arial" w:hAnsi="Arial" w:cs="Arial"/>
                <w:color w:val="002C77"/>
                <w:sz w:val="18"/>
                <w:szCs w:val="18"/>
              </w:rPr>
              <w:t>10/12/2024</w:t>
            </w:r>
            <w:r w:rsidR="00044BFF">
              <w:rPr>
                <w:rFonts w:ascii="Arial" w:hAnsi="Arial" w:cs="Arial"/>
                <w:color w:val="002C77"/>
                <w:sz w:val="18"/>
                <w:szCs w:val="18"/>
              </w:rPr>
              <w:t>:</w:t>
            </w:r>
            <w:r w:rsidRPr="00A510F7">
              <w:rPr>
                <w:rFonts w:ascii="Arial" w:hAnsi="Arial" w:cs="Arial"/>
                <w:b/>
                <w:bCs/>
                <w:color w:val="002C77"/>
                <w:sz w:val="18"/>
                <w:szCs w:val="18"/>
              </w:rPr>
              <w:t>Shareholder Proposal Regarding Report on Risks of Providing AI to Facilitate New Oil and Gas Development and Production</w:t>
            </w:r>
          </w:p>
          <w:p w14:paraId="16DD9DD0" w14:textId="40936C00" w:rsidR="00044BFF" w:rsidRPr="00A510F7" w:rsidRDefault="00A510F7" w:rsidP="00A510F7">
            <w:pPr>
              <w:rPr>
                <w:rFonts w:ascii="Arial" w:hAnsi="Arial" w:cs="Arial"/>
                <w:color w:val="002C77"/>
                <w:sz w:val="18"/>
                <w:szCs w:val="18"/>
              </w:rPr>
            </w:pPr>
            <w:r w:rsidRPr="00A510F7">
              <w:rPr>
                <w:rFonts w:ascii="Arial" w:hAnsi="Arial" w:cs="Arial"/>
                <w:color w:val="002C77"/>
                <w:sz w:val="18"/>
                <w:szCs w:val="18"/>
              </w:rPr>
              <w:t>(Environmental</w:t>
            </w:r>
            <w:r w:rsidR="00044BFF" w:rsidRPr="00A510F7">
              <w:rPr>
                <w:rFonts w:ascii="Arial" w:hAnsi="Arial" w:cs="Arial"/>
                <w:i/>
                <w:iCs/>
                <w:color w:val="002C77"/>
                <w:sz w:val="18"/>
                <w:szCs w:val="18"/>
              </w:rPr>
              <w:t>)</w:t>
            </w:r>
          </w:p>
        </w:tc>
        <w:tc>
          <w:tcPr>
            <w:tcW w:w="50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FC03E9" w14:textId="11508540" w:rsidR="00044BFF" w:rsidRDefault="00044BFF" w:rsidP="00A400FD">
            <w:pPr>
              <w:rPr>
                <w:rFonts w:ascii="Arial" w:hAnsi="Arial" w:cs="Arial"/>
                <w:b/>
                <w:bCs/>
                <w:color w:val="002C77"/>
                <w:sz w:val="18"/>
                <w:szCs w:val="18"/>
              </w:rPr>
            </w:pPr>
            <w:r w:rsidRPr="00FA32CF">
              <w:rPr>
                <w:rFonts w:ascii="Arial" w:hAnsi="Arial" w:cs="Arial"/>
                <w:b/>
                <w:bCs/>
                <w:color w:val="002C77"/>
                <w:sz w:val="18"/>
                <w:szCs w:val="18"/>
              </w:rPr>
              <w:t>Against</w:t>
            </w:r>
            <w:r>
              <w:rPr>
                <w:rFonts w:ascii="Arial" w:hAnsi="Arial" w:cs="Arial"/>
                <w:b/>
                <w:bCs/>
                <w:color w:val="002C77"/>
                <w:sz w:val="18"/>
                <w:szCs w:val="18"/>
              </w:rPr>
              <w:br/>
            </w:r>
            <w:r w:rsidRPr="006608A1">
              <w:rPr>
                <w:rFonts w:ascii="Arial" w:hAnsi="Arial" w:cs="Arial"/>
                <w:i/>
                <w:color w:val="002C77"/>
                <w:sz w:val="18"/>
                <w:szCs w:val="18"/>
              </w:rPr>
              <w:t>(</w:t>
            </w:r>
            <w:r w:rsidR="00A510F7" w:rsidRPr="00A510F7">
              <w:rPr>
                <w:rFonts w:ascii="Arial" w:hAnsi="Arial" w:cs="Arial"/>
                <w:i/>
                <w:color w:val="002C77"/>
                <w:sz w:val="18"/>
                <w:szCs w:val="18"/>
              </w:rPr>
              <w:t>No - A vote AGAINST this resolution is warranted. The concerns by the proposal raised do not present significant material risks at this time. The company provides sufficient disclosure on its approach to providing services to energy sector customers.)</w:t>
            </w:r>
          </w:p>
        </w:tc>
        <w:tc>
          <w:tcPr>
            <w:tcW w:w="4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cBorders>
            <w:vAlign w:val="center"/>
            <w:hideMark/>
          </w:tcPr>
          <w:p w14:paraId="352EE932" w14:textId="75724F92" w:rsidR="00044BFF" w:rsidRDefault="00A510F7" w:rsidP="00A400FD">
            <w:pPr>
              <w:rPr>
                <w:rFonts w:ascii="Arial" w:hAnsi="Arial" w:cs="Arial"/>
                <w:color w:val="002C77"/>
                <w:sz w:val="18"/>
                <w:szCs w:val="18"/>
              </w:rPr>
            </w:pPr>
            <w:r w:rsidRPr="00A510F7">
              <w:rPr>
                <w:rFonts w:ascii="Arial" w:hAnsi="Arial" w:cs="Arial"/>
                <w:b/>
                <w:color w:val="002C77"/>
                <w:sz w:val="18"/>
                <w:szCs w:val="18"/>
              </w:rPr>
              <w:t>9.7% Support</w:t>
            </w:r>
            <w:r w:rsidR="00044BFF">
              <w:rPr>
                <w:rFonts w:ascii="Arial" w:hAnsi="Arial" w:cs="Arial"/>
                <w:color w:val="002C77"/>
                <w:sz w:val="18"/>
                <w:szCs w:val="18"/>
              </w:rPr>
              <w:br/>
              <w:t xml:space="preserve">Proposal did not pass. </w:t>
            </w:r>
            <w:r w:rsidR="00044BFF">
              <w:rPr>
                <w:rFonts w:ascii="Arial" w:hAnsi="Arial" w:cs="Arial"/>
                <w:color w:val="002C77"/>
                <w:sz w:val="18"/>
                <w:szCs w:val="18"/>
              </w:rPr>
              <w:br/>
            </w:r>
            <w:r w:rsidR="00044BFF" w:rsidRPr="00CE19D7">
              <w:rPr>
                <w:rFonts w:ascii="Arial" w:hAnsi="Arial" w:cs="Arial"/>
                <w:i/>
                <w:color w:val="002C77"/>
                <w:sz w:val="18"/>
                <w:szCs w:val="18"/>
              </w:rPr>
              <w:t>(</w:t>
            </w:r>
            <w:r w:rsidRPr="00A510F7">
              <w:rPr>
                <w:rFonts w:ascii="Arial" w:hAnsi="Arial" w:cs="Arial"/>
                <w:i/>
                <w:color w:val="002C77"/>
                <w:sz w:val="18"/>
                <w:szCs w:val="18"/>
              </w:rPr>
              <w:t>N/A.)</w:t>
            </w:r>
          </w:p>
        </w:tc>
      </w:tr>
    </w:tbl>
    <w:p w14:paraId="4ABFB013" w14:textId="72FAA403" w:rsidR="00D976E1" w:rsidRDefault="00BA7B29" w:rsidP="00EA6312">
      <w:pPr>
        <w:ind w:right="139"/>
        <w:rPr>
          <w:b/>
          <w:noProof/>
          <w:color w:val="002C77"/>
          <w:lang w:eastAsia="en-GB"/>
        </w:rPr>
      </w:pPr>
      <w:r w:rsidRPr="00BA7B29">
        <w:rPr>
          <w:sz w:val="18"/>
          <w:szCs w:val="18"/>
          <w:lang w:eastAsia="en-GB"/>
        </w:rPr>
        <w:t>Note – These funds, namely the Mercer Passive Global REITS UCITS CCF do not have any votes deemed to be significant based on our definition of significant votes. Our definition specifically focuses on Mercer's Global Engagement Priority Themes.</w:t>
      </w:r>
    </w:p>
    <w:p w14:paraId="6BDD8091" w14:textId="1B9553E1" w:rsidR="00EA6312" w:rsidRPr="00DA1EFD" w:rsidRDefault="00EA6312" w:rsidP="00EA6312">
      <w:pPr>
        <w:ind w:right="139"/>
        <w:rPr>
          <w:b/>
          <w:noProof/>
          <w:color w:val="002C77"/>
          <w:lang w:eastAsia="en-GB"/>
        </w:rPr>
      </w:pPr>
      <w:r w:rsidRPr="00DA1EFD">
        <w:rPr>
          <w:b/>
          <w:noProof/>
          <w:color w:val="002C77"/>
          <w:lang w:eastAsia="en-GB"/>
        </w:rPr>
        <w:t>Website links</w:t>
      </w:r>
    </w:p>
    <w:p w14:paraId="2B9A375C" w14:textId="77777777" w:rsidR="00EA6312" w:rsidRPr="00B72795" w:rsidRDefault="00EA6312" w:rsidP="00EA6312">
      <w:pPr>
        <w:ind w:right="139"/>
        <w:rPr>
          <w:color w:val="009DE0" w:themeColor="accent1"/>
          <w:szCs w:val="22"/>
          <w:lang w:eastAsia="en-GB"/>
        </w:rPr>
      </w:pPr>
      <w:r w:rsidRPr="002306F0">
        <w:rPr>
          <w:color w:val="003865" w:themeColor="text1"/>
          <w:szCs w:val="22"/>
        </w:rPr>
        <w:t>Mercer Sustainability Policy:</w:t>
      </w:r>
      <w:r w:rsidRPr="002306F0">
        <w:rPr>
          <w:color w:val="auto"/>
          <w:szCs w:val="22"/>
          <w:lang w:eastAsia="en-GB"/>
        </w:rPr>
        <w:t xml:space="preserve"> </w:t>
      </w:r>
      <w:hyperlink r:id="rId17" w:history="1">
        <w:r w:rsidRPr="00B72795">
          <w:rPr>
            <w:rStyle w:val="Hyperlink"/>
            <w:color w:val="009DE0" w:themeColor="accent1"/>
          </w:rPr>
          <w:t>https://investment-solutions.mercer.com/content/dam/mercer-subdomains/delegated-solutions/CorporatePolicies/Mercer%20ISE%20Sustainability%20Policy.pdf</w:t>
        </w:r>
      </w:hyperlink>
      <w:r w:rsidRPr="00B72795">
        <w:rPr>
          <w:color w:val="009DE0" w:themeColor="accent1"/>
        </w:rPr>
        <w:t xml:space="preserve"> </w:t>
      </w:r>
    </w:p>
    <w:p w14:paraId="564A817D" w14:textId="77777777" w:rsidR="00EA6312" w:rsidRDefault="00EA6312" w:rsidP="00EA6312">
      <w:pPr>
        <w:ind w:right="139"/>
      </w:pPr>
      <w:r w:rsidRPr="002306F0">
        <w:rPr>
          <w:color w:val="003865" w:themeColor="text1"/>
          <w:szCs w:val="22"/>
        </w:rPr>
        <w:t>Mercer</w:t>
      </w:r>
      <w:r>
        <w:rPr>
          <w:color w:val="003865" w:themeColor="text1"/>
          <w:szCs w:val="22"/>
        </w:rPr>
        <w:t xml:space="preserve">: Approach to </w:t>
      </w:r>
      <w:r w:rsidRPr="002306F0">
        <w:rPr>
          <w:color w:val="003865" w:themeColor="text1"/>
          <w:szCs w:val="22"/>
        </w:rPr>
        <w:t>Climate Change Report</w:t>
      </w:r>
      <w:r>
        <w:rPr>
          <w:color w:val="003865" w:themeColor="text1"/>
          <w:szCs w:val="22"/>
        </w:rPr>
        <w:t xml:space="preserve">: </w:t>
      </w:r>
      <w:hyperlink r:id="rId18" w:history="1">
        <w:r w:rsidRPr="00B72795">
          <w:rPr>
            <w:rStyle w:val="Hyperlink"/>
            <w:color w:val="009DE0" w:themeColor="accent1"/>
          </w:rPr>
          <w:t>https://investment-solutions.mercer.com/content/dam/mercer-subdomains/delegated-solutions/CorporatePolicies/Task%20Force%20on%20Climate-related%20Financial%20Disclosures.pdf</w:t>
        </w:r>
      </w:hyperlink>
      <w:r w:rsidRPr="00B72795">
        <w:rPr>
          <w:color w:val="009DE0" w:themeColor="accent1"/>
        </w:rPr>
        <w:t xml:space="preserve"> </w:t>
      </w:r>
    </w:p>
    <w:p w14:paraId="028794FB" w14:textId="4E373974" w:rsidR="008F104D" w:rsidRPr="003E03F5" w:rsidRDefault="00EA6312" w:rsidP="00F24D4B">
      <w:pPr>
        <w:ind w:right="139"/>
        <w:rPr>
          <w:rFonts w:asciiTheme="minorHAnsi" w:eastAsiaTheme="minorHAnsi" w:hAnsiTheme="minorHAnsi" w:cstheme="minorBidi"/>
          <w:color w:val="808080" w:themeColor="background1" w:themeShade="80"/>
          <w:sz w:val="18"/>
          <w:szCs w:val="18"/>
        </w:rPr>
      </w:pPr>
      <w:r w:rsidRPr="002306F0">
        <w:rPr>
          <w:color w:val="003865" w:themeColor="text1"/>
          <w:szCs w:val="22"/>
        </w:rPr>
        <w:t xml:space="preserve">Mercer </w:t>
      </w:r>
      <w:r>
        <w:rPr>
          <w:color w:val="003865" w:themeColor="text1"/>
          <w:szCs w:val="22"/>
        </w:rPr>
        <w:t>Stewardship</w:t>
      </w:r>
      <w:r w:rsidRPr="002306F0">
        <w:rPr>
          <w:color w:val="003865" w:themeColor="text1"/>
          <w:szCs w:val="22"/>
        </w:rPr>
        <w:t xml:space="preserve"> Policy:</w:t>
      </w:r>
      <w:r>
        <w:rPr>
          <w:color w:val="009DE0" w:themeColor="accent1"/>
          <w:szCs w:val="22"/>
          <w:lang w:eastAsia="en-GB"/>
        </w:rPr>
        <w:t xml:space="preserve"> </w:t>
      </w:r>
      <w:hyperlink r:id="rId19" w:history="1">
        <w:r w:rsidRPr="00B72795">
          <w:rPr>
            <w:rStyle w:val="Hyperlink"/>
            <w:color w:val="009DE0" w:themeColor="accent1"/>
          </w:rPr>
          <w:t>https://investment-solutions.mercer.com/content/dam/mercer-subdomains/delegated-solutions/CorporatePolicies/Mercer%20ISE%20Stewardship%20Policy.pdf</w:t>
        </w:r>
      </w:hyperlink>
      <w:r w:rsidRPr="00B72795">
        <w:rPr>
          <w:color w:val="009DE0" w:themeColor="accent1"/>
        </w:rPr>
        <w:t xml:space="preserve"> </w:t>
      </w:r>
    </w:p>
    <w:sectPr w:rsidR="008F104D" w:rsidRPr="003E03F5" w:rsidSect="009C0807">
      <w:headerReference w:type="even" r:id="rId20"/>
      <w:headerReference w:type="default" r:id="rId21"/>
      <w:footerReference w:type="even" r:id="rId22"/>
      <w:footerReference w:type="default" r:id="rId23"/>
      <w:headerReference w:type="first" r:id="rId24"/>
      <w:footerReference w:type="first" r:id="rId25"/>
      <w:type w:val="continuous"/>
      <w:pgSz w:w="16839" w:h="11907" w:orient="landscape" w:code="9"/>
      <w:pgMar w:top="907" w:right="992" w:bottom="907" w:left="992"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67AB" w14:textId="77777777" w:rsidR="00A71763" w:rsidRDefault="00A71763">
      <w:r>
        <w:separator/>
      </w:r>
    </w:p>
  </w:endnote>
  <w:endnote w:type="continuationSeparator" w:id="0">
    <w:p w14:paraId="0D4B63F3" w14:textId="77777777" w:rsidR="00A71763" w:rsidRDefault="00A7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te">
    <w:altName w:val="Calibri"/>
    <w:panose1 w:val="00000000000000000000"/>
    <w:charset w:val="00"/>
    <w:family w:val="modern"/>
    <w:notTrueType/>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rifo S">
    <w:altName w:val="Cambria"/>
    <w:panose1 w:val="00000000000000000000"/>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ute Italic">
    <w:altName w:val="Source Code Pro Light"/>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189D" w14:textId="77777777" w:rsidR="007845A7" w:rsidRDefault="00784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30C6" w14:textId="77777777" w:rsidR="007845A7" w:rsidRDefault="00784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941A" w14:textId="77777777" w:rsidR="007845A7" w:rsidRDefault="00784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D45CF" w14:textId="77777777" w:rsidR="00A71763" w:rsidRDefault="00A71763">
      <w:r>
        <w:separator/>
      </w:r>
    </w:p>
  </w:footnote>
  <w:footnote w:type="continuationSeparator" w:id="0">
    <w:p w14:paraId="6EB1655E" w14:textId="77777777" w:rsidR="00A71763" w:rsidRDefault="00A7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01953" w14:textId="77777777" w:rsidR="007845A7" w:rsidRDefault="00784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35429" w14:textId="3352FA6D" w:rsidR="00623D25" w:rsidRDefault="00623D25" w:rsidP="00C473BD">
    <w:pPr>
      <w:pStyle w:val="Page2Heading"/>
    </w:pPr>
    <w:bookmarkStart w:id="0" w:name="MMC_Page"/>
    <w:r>
      <w:t>Page</w:t>
    </w:r>
    <w:bookmarkEnd w:id="0"/>
    <w:r>
      <w:t xml:space="preserve"> </w:t>
    </w:r>
    <w:r>
      <w:fldChar w:fldCharType="begin"/>
    </w:r>
    <w:r>
      <w:instrText xml:space="preserve"> PAGE </w:instrText>
    </w:r>
    <w:r>
      <w:fldChar w:fldCharType="separate"/>
    </w:r>
    <w:r w:rsidR="001C1E65">
      <w:rPr>
        <w:noProof/>
      </w:rPr>
      <w:t>2</w:t>
    </w:r>
    <w:r>
      <w:fldChar w:fldCharType="end"/>
    </w:r>
  </w:p>
  <w:p w14:paraId="49C0B28A" w14:textId="77777777" w:rsidR="00623D25" w:rsidRDefault="00623D25" w:rsidP="00C473BD">
    <w:pPr>
      <w:pStyle w:val="Page2Heading"/>
    </w:pPr>
  </w:p>
  <w:p w14:paraId="008E258A" w14:textId="77777777" w:rsidR="00623D25" w:rsidRDefault="00623D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15E9" w14:textId="77777777" w:rsidR="007845A7" w:rsidRDefault="0078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BF24A2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54850FE"/>
    <w:multiLevelType w:val="multilevel"/>
    <w:tmpl w:val="B1929E32"/>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2" w15:restartNumberingAfterBreak="0">
    <w:nsid w:val="1BCF04B6"/>
    <w:multiLevelType w:val="multilevel"/>
    <w:tmpl w:val="692C3A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 w15:restartNumberingAfterBreak="0">
    <w:nsid w:val="1D1F6A2A"/>
    <w:multiLevelType w:val="multilevel"/>
    <w:tmpl w:val="CD607E24"/>
    <w:name w:val="Appendix"/>
    <w:lvl w:ilvl="0">
      <w:start w:val="1"/>
      <w:numFmt w:val="upperLetter"/>
      <w:lvlRestart w:val="0"/>
      <w:lvlText w:val="Appendix: %1."/>
      <w:lvlJc w:val="left"/>
      <w:pPr>
        <w:tabs>
          <w:tab w:val="num" w:pos="360"/>
        </w:tabs>
        <w:ind w:left="360" w:hanging="36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584C0F"/>
    <w:multiLevelType w:val="multilevel"/>
    <w:tmpl w:val="788035E4"/>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5" w15:restartNumberingAfterBreak="0">
    <w:nsid w:val="28BE42BE"/>
    <w:multiLevelType w:val="hybridMultilevel"/>
    <w:tmpl w:val="3EC0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96F7B"/>
    <w:multiLevelType w:val="hybridMultilevel"/>
    <w:tmpl w:val="5BBCD306"/>
    <w:lvl w:ilvl="0" w:tplc="C81C6B0E">
      <w:numFmt w:val="bullet"/>
      <w:lvlText w:val="-"/>
      <w:lvlJc w:val="left"/>
      <w:pPr>
        <w:ind w:left="720" w:hanging="360"/>
      </w:pPr>
      <w:rPr>
        <w:rFonts w:ascii="Mute" w:eastAsia="Times New Roman" w:hAnsi="Mut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57393"/>
    <w:multiLevelType w:val="multilevel"/>
    <w:tmpl w:val="7CDEBAE6"/>
    <w:lvl w:ilvl="0">
      <w:start w:val="1"/>
      <w:numFmt w:val="decimal"/>
      <w:pStyle w:val="OutlineNum"/>
      <w:lvlText w:val="%1."/>
      <w:lvlJc w:val="left"/>
      <w:pPr>
        <w:tabs>
          <w:tab w:val="num" w:pos="706"/>
        </w:tabs>
        <w:ind w:left="706" w:hanging="706"/>
      </w:pPr>
      <w:rPr>
        <w:rFonts w:ascii="Arial" w:hAnsi="Arial" w:hint="default"/>
        <w:b/>
        <w:i w:val="0"/>
        <w:sz w:val="22"/>
      </w:rPr>
    </w:lvl>
    <w:lvl w:ilvl="1">
      <w:start w:val="1"/>
      <w:numFmt w:val="decimal"/>
      <w:pStyle w:val="OutlineNum2"/>
      <w:lvlText w:val="%1.%2"/>
      <w:lvlJc w:val="left"/>
      <w:pPr>
        <w:tabs>
          <w:tab w:val="num" w:pos="706"/>
        </w:tabs>
        <w:ind w:left="706" w:hanging="706"/>
      </w:pPr>
    </w:lvl>
    <w:lvl w:ilvl="2">
      <w:start w:val="1"/>
      <w:numFmt w:val="decimal"/>
      <w:pStyle w:val="OutlineNum3"/>
      <w:lvlText w:val="%1.%2.%3"/>
      <w:lvlJc w:val="left"/>
      <w:pPr>
        <w:tabs>
          <w:tab w:val="num" w:pos="1080"/>
        </w:tabs>
        <w:ind w:left="706" w:hanging="706"/>
      </w:pPr>
    </w:lvl>
    <w:lvl w:ilvl="3">
      <w:start w:val="1"/>
      <w:numFmt w:val="none"/>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440956BC"/>
    <w:multiLevelType w:val="multilevel"/>
    <w:tmpl w:val="94C25756"/>
    <w:name w:val="SectionStart"/>
    <w:lvl w:ilvl="0">
      <w:start w:val="1"/>
      <w:numFmt w:val="decimal"/>
      <w:lvlRestart w:val="0"/>
      <w:lvlText w:val="%1"/>
      <w:lvlJc w:val="left"/>
      <w:pPr>
        <w:tabs>
          <w:tab w:val="num" w:pos="360"/>
        </w:tabs>
        <w:ind w:left="360" w:hanging="180"/>
      </w:pPr>
      <w:rPr>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94202D"/>
    <w:multiLevelType w:val="multilevel"/>
    <w:tmpl w:val="55169CA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0" w15:restartNumberingAfterBreak="0">
    <w:nsid w:val="48AD4820"/>
    <w:multiLevelType w:val="hybridMultilevel"/>
    <w:tmpl w:val="04603BA8"/>
    <w:lvl w:ilvl="0" w:tplc="347241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371D4"/>
    <w:multiLevelType w:val="multilevel"/>
    <w:tmpl w:val="92BC9D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val="0"/>
        <w:i w:val="0"/>
        <w:caps w:val="0"/>
        <w:smallCaps w:val="0"/>
        <w:vanish w:val="0"/>
        <w:sz w:val="28"/>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2" w15:restartNumberingAfterBreak="0">
    <w:nsid w:val="5B5F1BCF"/>
    <w:multiLevelType w:val="multilevel"/>
    <w:tmpl w:val="03D8E0C4"/>
    <w:name w:val="SREP_HEAD1"/>
    <w:lvl w:ilvl="0">
      <w:start w:val="1"/>
      <w:numFmt w:val="decimal"/>
      <w:lvlRestart w:val="0"/>
      <w:lvlText w:val="%1."/>
      <w:lvlJc w:val="left"/>
      <w:pPr>
        <w:tabs>
          <w:tab w:val="num" w:pos="0"/>
        </w:tabs>
        <w:ind w:left="0" w:hanging="60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43B08FF"/>
    <w:multiLevelType w:val="multilevel"/>
    <w:tmpl w:val="D1600826"/>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rPr>
        <w:b w:val="0"/>
        <w:i w:val="0"/>
        <w:caps w:val="0"/>
        <w:smallCaps w:val="0"/>
        <w:vanish w:val="0"/>
        <w:u w:val="none"/>
      </w:rPr>
    </w:lvl>
    <w:lvl w:ilvl="5">
      <w:start w:val="1"/>
      <w:numFmt w:val="decimal"/>
      <w:pStyle w:val="HeadingNumber2"/>
      <w:lvlText w:val="%5.%6."/>
      <w:lvlJc w:val="left"/>
      <w:pPr>
        <w:tabs>
          <w:tab w:val="num" w:pos="840"/>
        </w:tabs>
        <w:ind w:left="840" w:hanging="840"/>
      </w:pPr>
      <w:rPr>
        <w:b w:val="0"/>
        <w:i w:val="0"/>
        <w:caps w:val="0"/>
        <w:smallCaps w:val="0"/>
        <w:vanish w:val="0"/>
        <w:u w:val="none"/>
      </w:rPr>
    </w:lvl>
    <w:lvl w:ilvl="6">
      <w:start w:val="1"/>
      <w:numFmt w:val="decimal"/>
      <w:pStyle w:val="HeadingNumber3"/>
      <w:lvlText w:val="%5.%6.%7."/>
      <w:lvlJc w:val="left"/>
      <w:pPr>
        <w:tabs>
          <w:tab w:val="num" w:pos="1080"/>
        </w:tabs>
        <w:ind w:left="1080" w:hanging="1080"/>
      </w:pPr>
      <w:rPr>
        <w:b w:val="0"/>
        <w:i w:val="0"/>
        <w:caps w:val="0"/>
        <w:smallCaps w:val="0"/>
        <w:vanish w:val="0"/>
        <w:u w:val="none"/>
      </w:rPr>
    </w:lvl>
    <w:lvl w:ilvl="7">
      <w:start w:val="1"/>
      <w:numFmt w:val="decimal"/>
      <w:pStyle w:val="HeadingNumber4"/>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4" w15:restartNumberingAfterBreak="0">
    <w:nsid w:val="652D4C3F"/>
    <w:multiLevelType w:val="multilevel"/>
    <w:tmpl w:val="E2D21B76"/>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5" w15:restartNumberingAfterBreak="0">
    <w:nsid w:val="68F670C2"/>
    <w:multiLevelType w:val="multilevel"/>
    <w:tmpl w:val="62BE8E18"/>
    <w:lvl w:ilvl="0">
      <w:start w:val="1"/>
      <w:numFmt w:val="none"/>
      <w:pStyle w:val="NormalIndent"/>
      <w:suff w:val="nothing"/>
      <w:lvlText w:val=""/>
      <w:lvlJc w:val="left"/>
      <w:pPr>
        <w:ind w:left="709" w:hanging="3"/>
      </w:pPr>
      <w:rPr>
        <w:rFonts w:cs="Times New Roman"/>
        <w:spacing w:val="-10"/>
        <w:sz w:val="18"/>
      </w:rPr>
    </w:lvl>
    <w:lvl w:ilvl="1">
      <w:start w:val="1"/>
      <w:numFmt w:val="none"/>
      <w:lvlRestart w:val="0"/>
      <w:suff w:val="nothing"/>
      <w:lvlText w:val=""/>
      <w:lvlJc w:val="left"/>
      <w:pPr>
        <w:ind w:left="1134" w:firstLine="0"/>
      </w:pPr>
      <w:rPr>
        <w:rFonts w:cs="Times New Roman"/>
        <w:spacing w:val="-10"/>
        <w:sz w:val="18"/>
      </w:rPr>
    </w:lvl>
    <w:lvl w:ilvl="2">
      <w:start w:val="1"/>
      <w:numFmt w:val="none"/>
      <w:suff w:val="nothing"/>
      <w:lvlText w:val=""/>
      <w:lvlJc w:val="left"/>
      <w:pPr>
        <w:ind w:left="1559" w:firstLine="0"/>
      </w:pPr>
      <w:rPr>
        <w:rFonts w:cs="Times New Roman"/>
        <w:spacing w:val="-10"/>
        <w:sz w:val="18"/>
      </w:rPr>
    </w:lvl>
    <w:lvl w:ilvl="3">
      <w:start w:val="1"/>
      <w:numFmt w:val="none"/>
      <w:suff w:val="nothing"/>
      <w:lvlText w:val=""/>
      <w:lvlJc w:val="left"/>
      <w:pPr>
        <w:ind w:left="0" w:firstLine="0"/>
      </w:pPr>
      <w:rPr>
        <w:rFonts w:cs="Times New Roman"/>
        <w:spacing w:val="-10"/>
        <w:sz w:val="18"/>
      </w:rPr>
    </w:lvl>
    <w:lvl w:ilvl="4">
      <w:start w:val="1"/>
      <w:numFmt w:val="decimal"/>
      <w:lvlText w:val="%5."/>
      <w:lvlJc w:val="left"/>
      <w:pPr>
        <w:tabs>
          <w:tab w:val="num" w:pos="360"/>
        </w:tabs>
        <w:ind w:left="288" w:hanging="288"/>
      </w:pPr>
      <w:rPr>
        <w:rFonts w:ascii="Arial" w:hAnsi="Arial" w:cs="Times New Roman" w:hint="default"/>
        <w:b w:val="0"/>
        <w:i w:val="0"/>
        <w:spacing w:val="-10"/>
        <w:sz w:val="22"/>
      </w:rPr>
    </w:lvl>
    <w:lvl w:ilvl="5">
      <w:start w:val="1"/>
      <w:numFmt w:val="decimal"/>
      <w:lvlText w:val="%6"/>
      <w:lvlJc w:val="left"/>
      <w:pPr>
        <w:tabs>
          <w:tab w:val="num" w:pos="794"/>
        </w:tabs>
        <w:ind w:left="794" w:hanging="397"/>
      </w:pPr>
      <w:rPr>
        <w:rFonts w:cs="Times New Roman"/>
        <w:spacing w:val="-10"/>
        <w:sz w:val="18"/>
      </w:rPr>
    </w:lvl>
    <w:lvl w:ilvl="6">
      <w:start w:val="1"/>
      <w:numFmt w:val="decimal"/>
      <w:lvlText w:val="%7"/>
      <w:lvlJc w:val="left"/>
      <w:pPr>
        <w:tabs>
          <w:tab w:val="num" w:pos="1191"/>
        </w:tabs>
        <w:ind w:left="1191" w:hanging="397"/>
      </w:pPr>
      <w:rPr>
        <w:rFonts w:cs="Times New Roman"/>
        <w:spacing w:val="-10"/>
        <w:sz w:val="18"/>
      </w:rPr>
    </w:lvl>
    <w:lvl w:ilvl="7">
      <w:start w:val="1"/>
      <w:numFmt w:val="lowerLetter"/>
      <w:lvlText w:val="%8"/>
      <w:lvlJc w:val="left"/>
      <w:pPr>
        <w:tabs>
          <w:tab w:val="num" w:pos="397"/>
        </w:tabs>
        <w:ind w:left="397" w:hanging="397"/>
      </w:pPr>
      <w:rPr>
        <w:rFonts w:cs="Times New Roman"/>
      </w:rPr>
    </w:lvl>
    <w:lvl w:ilvl="8">
      <w:start w:val="1"/>
      <w:numFmt w:val="lowerLetter"/>
      <w:lvlText w:val="%9"/>
      <w:lvlJc w:val="left"/>
      <w:pPr>
        <w:tabs>
          <w:tab w:val="num" w:pos="794"/>
        </w:tabs>
        <w:ind w:left="794" w:hanging="397"/>
      </w:pPr>
      <w:rPr>
        <w:rFonts w:cs="Times New Roman"/>
      </w:rPr>
    </w:lvl>
  </w:abstractNum>
  <w:abstractNum w:abstractNumId="16" w15:restartNumberingAfterBreak="0">
    <w:nsid w:val="699E2EE1"/>
    <w:multiLevelType w:val="hybridMultilevel"/>
    <w:tmpl w:val="2F86B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67A9B"/>
    <w:multiLevelType w:val="multilevel"/>
    <w:tmpl w:val="745ED41C"/>
    <w:name w:val="HeadingList"/>
    <w:lvl w:ilvl="0">
      <w:start w:val="1"/>
      <w:numFmt w:val="none"/>
      <w:pStyle w:val="Heading1"/>
      <w:suff w:val="nothing"/>
      <w:lvlText w:val=""/>
      <w:lvlJc w:val="left"/>
      <w:pPr>
        <w:tabs>
          <w:tab w:val="num" w:pos="0"/>
        </w:tabs>
        <w:ind w:left="0" w:firstLine="0"/>
      </w:pPr>
      <w:rPr>
        <w:b w:val="0"/>
        <w:i w:val="0"/>
        <w:caps w:val="0"/>
        <w:smallCaps w:val="0"/>
        <w:vanish w:val="0"/>
        <w:u w:val="none"/>
      </w:rPr>
    </w:lvl>
    <w:lvl w:ilvl="1">
      <w:start w:val="1"/>
      <w:numFmt w:val="none"/>
      <w:pStyle w:val="Heading2"/>
      <w:suff w:val="nothing"/>
      <w:lvlText w:val=""/>
      <w:lvlJc w:val="left"/>
      <w:pPr>
        <w:tabs>
          <w:tab w:val="num" w:pos="0"/>
        </w:tabs>
        <w:ind w:left="0" w:firstLine="0"/>
      </w:pPr>
      <w:rPr>
        <w:b w:val="0"/>
        <w:i w:val="0"/>
        <w:caps w:val="0"/>
        <w:smallCaps w:val="0"/>
        <w:vanish w:val="0"/>
        <w:u w:val="none"/>
      </w:rPr>
    </w:lvl>
    <w:lvl w:ilvl="2">
      <w:start w:val="1"/>
      <w:numFmt w:val="none"/>
      <w:pStyle w:val="Heading3"/>
      <w:suff w:val="nothing"/>
      <w:lvlText w:val=""/>
      <w:lvlJc w:val="left"/>
      <w:pPr>
        <w:tabs>
          <w:tab w:val="num" w:pos="0"/>
        </w:tabs>
        <w:ind w:left="0" w:firstLine="0"/>
      </w:pPr>
      <w:rPr>
        <w:b w:val="0"/>
        <w:i w:val="0"/>
        <w:caps w:val="0"/>
        <w:smallCaps w:val="0"/>
        <w:vanish w:val="0"/>
        <w:u w:val="none"/>
      </w:rPr>
    </w:lvl>
    <w:lvl w:ilvl="3">
      <w:start w:val="1"/>
      <w:numFmt w:val="none"/>
      <w:pStyle w:val="Heading4"/>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A17547"/>
    <w:multiLevelType w:val="multilevel"/>
    <w:tmpl w:val="25EC57AA"/>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9" w15:restartNumberingAfterBreak="0">
    <w:nsid w:val="77F71BE1"/>
    <w:multiLevelType w:val="multilevel"/>
    <w:tmpl w:val="7D0A446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0" w15:restartNumberingAfterBreak="0">
    <w:nsid w:val="7AD646DA"/>
    <w:multiLevelType w:val="multilevel"/>
    <w:tmpl w:val="B2A4F236"/>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num w:numId="1" w16cid:durableId="806632597">
    <w:abstractNumId w:val="18"/>
  </w:num>
  <w:num w:numId="2" w16cid:durableId="1943995635">
    <w:abstractNumId w:val="17"/>
  </w:num>
  <w:num w:numId="3" w16cid:durableId="1271476748">
    <w:abstractNumId w:val="1"/>
  </w:num>
  <w:num w:numId="4" w16cid:durableId="1793017217">
    <w:abstractNumId w:val="4"/>
  </w:num>
  <w:num w:numId="5" w16cid:durableId="67577984">
    <w:abstractNumId w:val="13"/>
  </w:num>
  <w:num w:numId="6" w16cid:durableId="965039034">
    <w:abstractNumId w:val="7"/>
  </w:num>
  <w:num w:numId="7" w16cid:durableId="918906810">
    <w:abstractNumId w:val="16"/>
  </w:num>
  <w:num w:numId="8" w16cid:durableId="1200514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7850169">
    <w:abstractNumId w:val="6"/>
  </w:num>
  <w:num w:numId="10" w16cid:durableId="490759029">
    <w:abstractNumId w:val="5"/>
  </w:num>
  <w:num w:numId="11" w16cid:durableId="753160871">
    <w:abstractNumId w:val="0"/>
  </w:num>
  <w:num w:numId="12" w16cid:durableId="1354846875">
    <w:abstractNumId w:val="11"/>
  </w:num>
  <w:num w:numId="13" w16cid:durableId="948202399">
    <w:abstractNumId w:val="10"/>
  </w:num>
  <w:num w:numId="14" w16cid:durableId="1177036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4456075">
    <w:abstractNumId w:val="2"/>
  </w:num>
  <w:num w:numId="16" w16cid:durableId="139660806">
    <w:abstractNumId w:val="1"/>
  </w:num>
  <w:num w:numId="17" w16cid:durableId="1248611449">
    <w:abstractNumId w:val="1"/>
  </w:num>
  <w:num w:numId="18" w16cid:durableId="1362248739">
    <w:abstractNumId w:val="1"/>
  </w:num>
  <w:num w:numId="19" w16cid:durableId="25329451">
    <w:abstractNumId w:val="1"/>
  </w:num>
  <w:num w:numId="20" w16cid:durableId="469371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36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4B"/>
    <w:rsid w:val="00001F81"/>
    <w:rsid w:val="00003847"/>
    <w:rsid w:val="0000613C"/>
    <w:rsid w:val="000071F3"/>
    <w:rsid w:val="000072D8"/>
    <w:rsid w:val="000078A6"/>
    <w:rsid w:val="00007A09"/>
    <w:rsid w:val="00010E00"/>
    <w:rsid w:val="00010F83"/>
    <w:rsid w:val="00011D05"/>
    <w:rsid w:val="00017217"/>
    <w:rsid w:val="00017316"/>
    <w:rsid w:val="00021C18"/>
    <w:rsid w:val="00022D3E"/>
    <w:rsid w:val="00031901"/>
    <w:rsid w:val="00032B54"/>
    <w:rsid w:val="00033442"/>
    <w:rsid w:val="00035D7D"/>
    <w:rsid w:val="000405BC"/>
    <w:rsid w:val="0004065B"/>
    <w:rsid w:val="00043786"/>
    <w:rsid w:val="00044BFF"/>
    <w:rsid w:val="0004561F"/>
    <w:rsid w:val="00054EBF"/>
    <w:rsid w:val="00060E77"/>
    <w:rsid w:val="00066B89"/>
    <w:rsid w:val="0006750F"/>
    <w:rsid w:val="00067F3E"/>
    <w:rsid w:val="0007407D"/>
    <w:rsid w:val="00075CE5"/>
    <w:rsid w:val="00076093"/>
    <w:rsid w:val="00077077"/>
    <w:rsid w:val="00077BBF"/>
    <w:rsid w:val="00083645"/>
    <w:rsid w:val="00084165"/>
    <w:rsid w:val="00084340"/>
    <w:rsid w:val="000937C7"/>
    <w:rsid w:val="000A354F"/>
    <w:rsid w:val="000A5CC4"/>
    <w:rsid w:val="000A6AE2"/>
    <w:rsid w:val="000A7310"/>
    <w:rsid w:val="000B1803"/>
    <w:rsid w:val="000B2996"/>
    <w:rsid w:val="000B78EE"/>
    <w:rsid w:val="000C09D8"/>
    <w:rsid w:val="000C1541"/>
    <w:rsid w:val="000C2D38"/>
    <w:rsid w:val="000C381A"/>
    <w:rsid w:val="000C6922"/>
    <w:rsid w:val="000D0C25"/>
    <w:rsid w:val="000D0C54"/>
    <w:rsid w:val="000D4095"/>
    <w:rsid w:val="000D426E"/>
    <w:rsid w:val="000D553C"/>
    <w:rsid w:val="000D7161"/>
    <w:rsid w:val="000E0C85"/>
    <w:rsid w:val="000E239B"/>
    <w:rsid w:val="000E3CB1"/>
    <w:rsid w:val="000E5F3E"/>
    <w:rsid w:val="000E6BD8"/>
    <w:rsid w:val="000E7298"/>
    <w:rsid w:val="000F7A2A"/>
    <w:rsid w:val="001002E3"/>
    <w:rsid w:val="00103400"/>
    <w:rsid w:val="001137A2"/>
    <w:rsid w:val="00113A5A"/>
    <w:rsid w:val="00121041"/>
    <w:rsid w:val="00124CB2"/>
    <w:rsid w:val="00133104"/>
    <w:rsid w:val="00133365"/>
    <w:rsid w:val="00133432"/>
    <w:rsid w:val="00140FBA"/>
    <w:rsid w:val="00144F34"/>
    <w:rsid w:val="00151707"/>
    <w:rsid w:val="00151E35"/>
    <w:rsid w:val="00153765"/>
    <w:rsid w:val="001562E6"/>
    <w:rsid w:val="00160292"/>
    <w:rsid w:val="00160F51"/>
    <w:rsid w:val="0016333D"/>
    <w:rsid w:val="00164542"/>
    <w:rsid w:val="00167AF2"/>
    <w:rsid w:val="0017298B"/>
    <w:rsid w:val="001744AF"/>
    <w:rsid w:val="001778BC"/>
    <w:rsid w:val="00184B81"/>
    <w:rsid w:val="001851C8"/>
    <w:rsid w:val="0018616C"/>
    <w:rsid w:val="00186204"/>
    <w:rsid w:val="00190883"/>
    <w:rsid w:val="00190B5C"/>
    <w:rsid w:val="00195673"/>
    <w:rsid w:val="00196052"/>
    <w:rsid w:val="00196A69"/>
    <w:rsid w:val="001A071F"/>
    <w:rsid w:val="001A546E"/>
    <w:rsid w:val="001B3409"/>
    <w:rsid w:val="001B5286"/>
    <w:rsid w:val="001C02EC"/>
    <w:rsid w:val="001C0C92"/>
    <w:rsid w:val="001C1E65"/>
    <w:rsid w:val="001C49C9"/>
    <w:rsid w:val="001C5D9E"/>
    <w:rsid w:val="001D1DA9"/>
    <w:rsid w:val="001D3A26"/>
    <w:rsid w:val="001D7F88"/>
    <w:rsid w:val="001E199A"/>
    <w:rsid w:val="001E1FA7"/>
    <w:rsid w:val="001E2401"/>
    <w:rsid w:val="001E317B"/>
    <w:rsid w:val="001F302D"/>
    <w:rsid w:val="0021344E"/>
    <w:rsid w:val="00215A56"/>
    <w:rsid w:val="0023138C"/>
    <w:rsid w:val="002344C5"/>
    <w:rsid w:val="00236BBD"/>
    <w:rsid w:val="0024133B"/>
    <w:rsid w:val="00247B2F"/>
    <w:rsid w:val="00251805"/>
    <w:rsid w:val="00251C75"/>
    <w:rsid w:val="00252359"/>
    <w:rsid w:val="002612C1"/>
    <w:rsid w:val="002649F8"/>
    <w:rsid w:val="00266D2C"/>
    <w:rsid w:val="00271E67"/>
    <w:rsid w:val="00273709"/>
    <w:rsid w:val="00277F94"/>
    <w:rsid w:val="00284776"/>
    <w:rsid w:val="00286B80"/>
    <w:rsid w:val="00287E8E"/>
    <w:rsid w:val="0029123F"/>
    <w:rsid w:val="002B20C3"/>
    <w:rsid w:val="002B4562"/>
    <w:rsid w:val="002B64A5"/>
    <w:rsid w:val="002C07E1"/>
    <w:rsid w:val="002C15ED"/>
    <w:rsid w:val="002C39FC"/>
    <w:rsid w:val="002C3FC6"/>
    <w:rsid w:val="002C5E6B"/>
    <w:rsid w:val="002D0F45"/>
    <w:rsid w:val="002D1AC6"/>
    <w:rsid w:val="002D2FEF"/>
    <w:rsid w:val="002E69BC"/>
    <w:rsid w:val="002F105F"/>
    <w:rsid w:val="002F2CD6"/>
    <w:rsid w:val="002F2F4B"/>
    <w:rsid w:val="002F7C22"/>
    <w:rsid w:val="00303C77"/>
    <w:rsid w:val="00304837"/>
    <w:rsid w:val="00305959"/>
    <w:rsid w:val="003074DB"/>
    <w:rsid w:val="0031017A"/>
    <w:rsid w:val="003157F4"/>
    <w:rsid w:val="00316B7A"/>
    <w:rsid w:val="00320353"/>
    <w:rsid w:val="00321A92"/>
    <w:rsid w:val="00323673"/>
    <w:rsid w:val="00323DC1"/>
    <w:rsid w:val="00325F46"/>
    <w:rsid w:val="00335E72"/>
    <w:rsid w:val="0034096A"/>
    <w:rsid w:val="00346112"/>
    <w:rsid w:val="0035147A"/>
    <w:rsid w:val="003515B8"/>
    <w:rsid w:val="00356F7D"/>
    <w:rsid w:val="0036531E"/>
    <w:rsid w:val="00367E58"/>
    <w:rsid w:val="00372F13"/>
    <w:rsid w:val="00373081"/>
    <w:rsid w:val="00375FCD"/>
    <w:rsid w:val="003762F0"/>
    <w:rsid w:val="00376E29"/>
    <w:rsid w:val="00380EA1"/>
    <w:rsid w:val="00383181"/>
    <w:rsid w:val="003955C7"/>
    <w:rsid w:val="00396B61"/>
    <w:rsid w:val="003A0DF9"/>
    <w:rsid w:val="003A1165"/>
    <w:rsid w:val="003A3794"/>
    <w:rsid w:val="003A456E"/>
    <w:rsid w:val="003A6090"/>
    <w:rsid w:val="003A6B03"/>
    <w:rsid w:val="003B2D42"/>
    <w:rsid w:val="003B5391"/>
    <w:rsid w:val="003B5E9E"/>
    <w:rsid w:val="003C2F61"/>
    <w:rsid w:val="003C717C"/>
    <w:rsid w:val="003D14D1"/>
    <w:rsid w:val="003D3371"/>
    <w:rsid w:val="003D443D"/>
    <w:rsid w:val="003D5B20"/>
    <w:rsid w:val="003D702C"/>
    <w:rsid w:val="003D78D1"/>
    <w:rsid w:val="003E03F5"/>
    <w:rsid w:val="003E3911"/>
    <w:rsid w:val="003E6434"/>
    <w:rsid w:val="003E7741"/>
    <w:rsid w:val="003F208F"/>
    <w:rsid w:val="003F6569"/>
    <w:rsid w:val="00406AE0"/>
    <w:rsid w:val="0041275E"/>
    <w:rsid w:val="00414A21"/>
    <w:rsid w:val="00415BE2"/>
    <w:rsid w:val="00416BD1"/>
    <w:rsid w:val="00420058"/>
    <w:rsid w:val="004209B5"/>
    <w:rsid w:val="00422D1F"/>
    <w:rsid w:val="0042377A"/>
    <w:rsid w:val="00424FEE"/>
    <w:rsid w:val="00430E0B"/>
    <w:rsid w:val="00431469"/>
    <w:rsid w:val="004356BB"/>
    <w:rsid w:val="004402B5"/>
    <w:rsid w:val="004403A5"/>
    <w:rsid w:val="00440CFC"/>
    <w:rsid w:val="004424F8"/>
    <w:rsid w:val="004431FF"/>
    <w:rsid w:val="00443E44"/>
    <w:rsid w:val="00454D21"/>
    <w:rsid w:val="00455AFC"/>
    <w:rsid w:val="00456351"/>
    <w:rsid w:val="00460562"/>
    <w:rsid w:val="00462FEF"/>
    <w:rsid w:val="00464D4B"/>
    <w:rsid w:val="004661FA"/>
    <w:rsid w:val="00473F56"/>
    <w:rsid w:val="00476BD7"/>
    <w:rsid w:val="00482C8E"/>
    <w:rsid w:val="00492594"/>
    <w:rsid w:val="004A04A2"/>
    <w:rsid w:val="004A14E8"/>
    <w:rsid w:val="004A1DC7"/>
    <w:rsid w:val="004A2C7E"/>
    <w:rsid w:val="004A2F9E"/>
    <w:rsid w:val="004A3CC9"/>
    <w:rsid w:val="004A4240"/>
    <w:rsid w:val="004A4AC5"/>
    <w:rsid w:val="004A59ED"/>
    <w:rsid w:val="004A5C59"/>
    <w:rsid w:val="004A68C5"/>
    <w:rsid w:val="004A7423"/>
    <w:rsid w:val="004B21F2"/>
    <w:rsid w:val="004B4DE6"/>
    <w:rsid w:val="004B548D"/>
    <w:rsid w:val="004B72EC"/>
    <w:rsid w:val="004C4C45"/>
    <w:rsid w:val="004C4E5B"/>
    <w:rsid w:val="004D756D"/>
    <w:rsid w:val="004E1589"/>
    <w:rsid w:val="004E1F3C"/>
    <w:rsid w:val="004E28F4"/>
    <w:rsid w:val="004F05B0"/>
    <w:rsid w:val="004F2DC8"/>
    <w:rsid w:val="004F4978"/>
    <w:rsid w:val="004F551F"/>
    <w:rsid w:val="004F59F7"/>
    <w:rsid w:val="004F6134"/>
    <w:rsid w:val="005019D2"/>
    <w:rsid w:val="00504FAA"/>
    <w:rsid w:val="00511815"/>
    <w:rsid w:val="00513C85"/>
    <w:rsid w:val="00514541"/>
    <w:rsid w:val="005156F8"/>
    <w:rsid w:val="00516BAE"/>
    <w:rsid w:val="0051741F"/>
    <w:rsid w:val="005179B1"/>
    <w:rsid w:val="00520CAE"/>
    <w:rsid w:val="00521871"/>
    <w:rsid w:val="005243A9"/>
    <w:rsid w:val="0052550D"/>
    <w:rsid w:val="005259CD"/>
    <w:rsid w:val="00530098"/>
    <w:rsid w:val="00530EBC"/>
    <w:rsid w:val="00534BF1"/>
    <w:rsid w:val="00535EEC"/>
    <w:rsid w:val="00544D0A"/>
    <w:rsid w:val="00545F40"/>
    <w:rsid w:val="005476B5"/>
    <w:rsid w:val="005504C3"/>
    <w:rsid w:val="00553DAA"/>
    <w:rsid w:val="005616EB"/>
    <w:rsid w:val="005677A4"/>
    <w:rsid w:val="005724E8"/>
    <w:rsid w:val="00572D8F"/>
    <w:rsid w:val="005735B0"/>
    <w:rsid w:val="0057520A"/>
    <w:rsid w:val="00577AF0"/>
    <w:rsid w:val="00581A89"/>
    <w:rsid w:val="00581DFE"/>
    <w:rsid w:val="00581E01"/>
    <w:rsid w:val="00586923"/>
    <w:rsid w:val="00586B37"/>
    <w:rsid w:val="0059061A"/>
    <w:rsid w:val="00591BA8"/>
    <w:rsid w:val="005A137C"/>
    <w:rsid w:val="005A2190"/>
    <w:rsid w:val="005A3136"/>
    <w:rsid w:val="005A5BDC"/>
    <w:rsid w:val="005B0DF1"/>
    <w:rsid w:val="005B12A2"/>
    <w:rsid w:val="005B5046"/>
    <w:rsid w:val="005C13DB"/>
    <w:rsid w:val="005C5533"/>
    <w:rsid w:val="005C6D27"/>
    <w:rsid w:val="005D23E1"/>
    <w:rsid w:val="005D7C22"/>
    <w:rsid w:val="005E00DA"/>
    <w:rsid w:val="005E1C5B"/>
    <w:rsid w:val="005E24DB"/>
    <w:rsid w:val="005E2E81"/>
    <w:rsid w:val="005E374B"/>
    <w:rsid w:val="005E463A"/>
    <w:rsid w:val="005E4E24"/>
    <w:rsid w:val="005F0FBB"/>
    <w:rsid w:val="005F1B7D"/>
    <w:rsid w:val="005F1F59"/>
    <w:rsid w:val="005F2B29"/>
    <w:rsid w:val="005F63FD"/>
    <w:rsid w:val="005F773A"/>
    <w:rsid w:val="00601D49"/>
    <w:rsid w:val="00603598"/>
    <w:rsid w:val="00604481"/>
    <w:rsid w:val="0060719B"/>
    <w:rsid w:val="00610018"/>
    <w:rsid w:val="00611311"/>
    <w:rsid w:val="00611ED0"/>
    <w:rsid w:val="00614BA4"/>
    <w:rsid w:val="00615C05"/>
    <w:rsid w:val="006160DE"/>
    <w:rsid w:val="006213AD"/>
    <w:rsid w:val="00621DBA"/>
    <w:rsid w:val="006226AE"/>
    <w:rsid w:val="00623D25"/>
    <w:rsid w:val="0062731D"/>
    <w:rsid w:val="00632F7D"/>
    <w:rsid w:val="00643A31"/>
    <w:rsid w:val="00645F8F"/>
    <w:rsid w:val="00646DFF"/>
    <w:rsid w:val="006513F8"/>
    <w:rsid w:val="00651A24"/>
    <w:rsid w:val="006549EE"/>
    <w:rsid w:val="00654AA3"/>
    <w:rsid w:val="00657443"/>
    <w:rsid w:val="006621BE"/>
    <w:rsid w:val="006631D8"/>
    <w:rsid w:val="00663B3E"/>
    <w:rsid w:val="00664059"/>
    <w:rsid w:val="00664BD3"/>
    <w:rsid w:val="00665BB2"/>
    <w:rsid w:val="00667E06"/>
    <w:rsid w:val="006709BE"/>
    <w:rsid w:val="00674EF2"/>
    <w:rsid w:val="00675A0A"/>
    <w:rsid w:val="00680710"/>
    <w:rsid w:val="00680CDD"/>
    <w:rsid w:val="006814D1"/>
    <w:rsid w:val="00690DE3"/>
    <w:rsid w:val="00693EB8"/>
    <w:rsid w:val="00695C7A"/>
    <w:rsid w:val="0069631C"/>
    <w:rsid w:val="006A39DA"/>
    <w:rsid w:val="006A78FF"/>
    <w:rsid w:val="006B67FD"/>
    <w:rsid w:val="006C0C5E"/>
    <w:rsid w:val="006C70F1"/>
    <w:rsid w:val="006D26A4"/>
    <w:rsid w:val="006D332B"/>
    <w:rsid w:val="006E54EB"/>
    <w:rsid w:val="006E63F6"/>
    <w:rsid w:val="006E79F0"/>
    <w:rsid w:val="006F4AD5"/>
    <w:rsid w:val="0070042A"/>
    <w:rsid w:val="00700F93"/>
    <w:rsid w:val="00710BCB"/>
    <w:rsid w:val="0071568F"/>
    <w:rsid w:val="0073277E"/>
    <w:rsid w:val="0073387E"/>
    <w:rsid w:val="00733EB6"/>
    <w:rsid w:val="007401B2"/>
    <w:rsid w:val="00741390"/>
    <w:rsid w:val="007418BF"/>
    <w:rsid w:val="007454A0"/>
    <w:rsid w:val="00745CA4"/>
    <w:rsid w:val="007506A3"/>
    <w:rsid w:val="00751FB8"/>
    <w:rsid w:val="00753292"/>
    <w:rsid w:val="007555D6"/>
    <w:rsid w:val="007560FD"/>
    <w:rsid w:val="007564D6"/>
    <w:rsid w:val="00756B72"/>
    <w:rsid w:val="0076491A"/>
    <w:rsid w:val="00765D0D"/>
    <w:rsid w:val="007666C0"/>
    <w:rsid w:val="00767043"/>
    <w:rsid w:val="0077192C"/>
    <w:rsid w:val="0077366E"/>
    <w:rsid w:val="00773AAE"/>
    <w:rsid w:val="00780082"/>
    <w:rsid w:val="00781E5D"/>
    <w:rsid w:val="007831F3"/>
    <w:rsid w:val="007845A7"/>
    <w:rsid w:val="00785261"/>
    <w:rsid w:val="0078548E"/>
    <w:rsid w:val="00793D6E"/>
    <w:rsid w:val="00794479"/>
    <w:rsid w:val="007963CC"/>
    <w:rsid w:val="007B0F9E"/>
    <w:rsid w:val="007B37C3"/>
    <w:rsid w:val="007B4261"/>
    <w:rsid w:val="007B4BA9"/>
    <w:rsid w:val="007B6768"/>
    <w:rsid w:val="007C3424"/>
    <w:rsid w:val="007C4A42"/>
    <w:rsid w:val="007D0BD9"/>
    <w:rsid w:val="007D29AE"/>
    <w:rsid w:val="007D35FC"/>
    <w:rsid w:val="007D6D0C"/>
    <w:rsid w:val="007E3B8F"/>
    <w:rsid w:val="007E4366"/>
    <w:rsid w:val="007E4F6D"/>
    <w:rsid w:val="007F01B9"/>
    <w:rsid w:val="007F6288"/>
    <w:rsid w:val="00801535"/>
    <w:rsid w:val="00802693"/>
    <w:rsid w:val="00810D9F"/>
    <w:rsid w:val="0081215E"/>
    <w:rsid w:val="00812579"/>
    <w:rsid w:val="0081384F"/>
    <w:rsid w:val="00817279"/>
    <w:rsid w:val="008247F1"/>
    <w:rsid w:val="0082625A"/>
    <w:rsid w:val="00827652"/>
    <w:rsid w:val="008304B9"/>
    <w:rsid w:val="00830872"/>
    <w:rsid w:val="00831084"/>
    <w:rsid w:val="0083552C"/>
    <w:rsid w:val="00841645"/>
    <w:rsid w:val="008422E6"/>
    <w:rsid w:val="00843A07"/>
    <w:rsid w:val="008525BE"/>
    <w:rsid w:val="00854779"/>
    <w:rsid w:val="00855C08"/>
    <w:rsid w:val="00855FDE"/>
    <w:rsid w:val="00857E38"/>
    <w:rsid w:val="00860477"/>
    <w:rsid w:val="008618EF"/>
    <w:rsid w:val="00861C97"/>
    <w:rsid w:val="00861DAA"/>
    <w:rsid w:val="0086483C"/>
    <w:rsid w:val="00867EBA"/>
    <w:rsid w:val="008714F5"/>
    <w:rsid w:val="0087559E"/>
    <w:rsid w:val="00875662"/>
    <w:rsid w:val="00875E18"/>
    <w:rsid w:val="00877338"/>
    <w:rsid w:val="00881365"/>
    <w:rsid w:val="008844A2"/>
    <w:rsid w:val="00887316"/>
    <w:rsid w:val="00887D9F"/>
    <w:rsid w:val="00890F8C"/>
    <w:rsid w:val="008A06FB"/>
    <w:rsid w:val="008A588E"/>
    <w:rsid w:val="008B0345"/>
    <w:rsid w:val="008B1A88"/>
    <w:rsid w:val="008D36EC"/>
    <w:rsid w:val="008D61A6"/>
    <w:rsid w:val="008E2ED7"/>
    <w:rsid w:val="008F104D"/>
    <w:rsid w:val="008F320D"/>
    <w:rsid w:val="008F7CC5"/>
    <w:rsid w:val="00900786"/>
    <w:rsid w:val="00900FA5"/>
    <w:rsid w:val="00903EEA"/>
    <w:rsid w:val="00904E28"/>
    <w:rsid w:val="00905032"/>
    <w:rsid w:val="00913929"/>
    <w:rsid w:val="009170C8"/>
    <w:rsid w:val="00920867"/>
    <w:rsid w:val="00921D66"/>
    <w:rsid w:val="0092210A"/>
    <w:rsid w:val="009235E0"/>
    <w:rsid w:val="00923D7E"/>
    <w:rsid w:val="0092443A"/>
    <w:rsid w:val="00925E10"/>
    <w:rsid w:val="009275FC"/>
    <w:rsid w:val="009313BF"/>
    <w:rsid w:val="0093517B"/>
    <w:rsid w:val="00936830"/>
    <w:rsid w:val="00941C3A"/>
    <w:rsid w:val="00941F7E"/>
    <w:rsid w:val="00944DD5"/>
    <w:rsid w:val="009451AB"/>
    <w:rsid w:val="0094541D"/>
    <w:rsid w:val="00947E58"/>
    <w:rsid w:val="009520A1"/>
    <w:rsid w:val="00953CB8"/>
    <w:rsid w:val="0096514B"/>
    <w:rsid w:val="00972A5F"/>
    <w:rsid w:val="00972D15"/>
    <w:rsid w:val="009744F7"/>
    <w:rsid w:val="0097459B"/>
    <w:rsid w:val="00987E21"/>
    <w:rsid w:val="00993B03"/>
    <w:rsid w:val="0099547E"/>
    <w:rsid w:val="009A0BF7"/>
    <w:rsid w:val="009A2E54"/>
    <w:rsid w:val="009A42BC"/>
    <w:rsid w:val="009A6456"/>
    <w:rsid w:val="009B05F4"/>
    <w:rsid w:val="009B0D9C"/>
    <w:rsid w:val="009B1905"/>
    <w:rsid w:val="009B43B5"/>
    <w:rsid w:val="009B6451"/>
    <w:rsid w:val="009C0807"/>
    <w:rsid w:val="009C7273"/>
    <w:rsid w:val="009C7CC5"/>
    <w:rsid w:val="009D10CD"/>
    <w:rsid w:val="009D2EB6"/>
    <w:rsid w:val="009D5048"/>
    <w:rsid w:val="009E0AA7"/>
    <w:rsid w:val="009E4CAA"/>
    <w:rsid w:val="009F2911"/>
    <w:rsid w:val="009F3320"/>
    <w:rsid w:val="009F3AFD"/>
    <w:rsid w:val="009F655F"/>
    <w:rsid w:val="009F79F5"/>
    <w:rsid w:val="00A05327"/>
    <w:rsid w:val="00A072D6"/>
    <w:rsid w:val="00A07AC4"/>
    <w:rsid w:val="00A1449B"/>
    <w:rsid w:val="00A2288E"/>
    <w:rsid w:val="00A2604D"/>
    <w:rsid w:val="00A32241"/>
    <w:rsid w:val="00A3234B"/>
    <w:rsid w:val="00A403E7"/>
    <w:rsid w:val="00A40AB9"/>
    <w:rsid w:val="00A41842"/>
    <w:rsid w:val="00A45F09"/>
    <w:rsid w:val="00A460E5"/>
    <w:rsid w:val="00A46AFF"/>
    <w:rsid w:val="00A46D22"/>
    <w:rsid w:val="00A47A86"/>
    <w:rsid w:val="00A510F7"/>
    <w:rsid w:val="00A51D7C"/>
    <w:rsid w:val="00A53CD9"/>
    <w:rsid w:val="00A5459E"/>
    <w:rsid w:val="00A548E3"/>
    <w:rsid w:val="00A5597D"/>
    <w:rsid w:val="00A62AD0"/>
    <w:rsid w:val="00A65A78"/>
    <w:rsid w:val="00A66CDD"/>
    <w:rsid w:val="00A71653"/>
    <w:rsid w:val="00A71761"/>
    <w:rsid w:val="00A71763"/>
    <w:rsid w:val="00A725C3"/>
    <w:rsid w:val="00A74483"/>
    <w:rsid w:val="00A75198"/>
    <w:rsid w:val="00A75399"/>
    <w:rsid w:val="00A76302"/>
    <w:rsid w:val="00A82BA6"/>
    <w:rsid w:val="00A84F4B"/>
    <w:rsid w:val="00A926CD"/>
    <w:rsid w:val="00A92F15"/>
    <w:rsid w:val="00A93026"/>
    <w:rsid w:val="00A94F5A"/>
    <w:rsid w:val="00A9797F"/>
    <w:rsid w:val="00A97AB6"/>
    <w:rsid w:val="00AA1116"/>
    <w:rsid w:val="00AA3490"/>
    <w:rsid w:val="00AA5039"/>
    <w:rsid w:val="00AA53FE"/>
    <w:rsid w:val="00AB487C"/>
    <w:rsid w:val="00AC240F"/>
    <w:rsid w:val="00AC3668"/>
    <w:rsid w:val="00AD04B5"/>
    <w:rsid w:val="00AD0BDC"/>
    <w:rsid w:val="00AD34C9"/>
    <w:rsid w:val="00AD5CE4"/>
    <w:rsid w:val="00AE4F96"/>
    <w:rsid w:val="00AE567B"/>
    <w:rsid w:val="00AF620A"/>
    <w:rsid w:val="00B02DC9"/>
    <w:rsid w:val="00B031B6"/>
    <w:rsid w:val="00B056BD"/>
    <w:rsid w:val="00B061AF"/>
    <w:rsid w:val="00B0702F"/>
    <w:rsid w:val="00B07C96"/>
    <w:rsid w:val="00B20D8B"/>
    <w:rsid w:val="00B2246D"/>
    <w:rsid w:val="00B234FA"/>
    <w:rsid w:val="00B23FD9"/>
    <w:rsid w:val="00B27FA7"/>
    <w:rsid w:val="00B3136F"/>
    <w:rsid w:val="00B32D6C"/>
    <w:rsid w:val="00B36A2B"/>
    <w:rsid w:val="00B412CF"/>
    <w:rsid w:val="00B42910"/>
    <w:rsid w:val="00B460EF"/>
    <w:rsid w:val="00B464E3"/>
    <w:rsid w:val="00B502B3"/>
    <w:rsid w:val="00B504BB"/>
    <w:rsid w:val="00B51CFF"/>
    <w:rsid w:val="00B537B3"/>
    <w:rsid w:val="00B575BE"/>
    <w:rsid w:val="00B72357"/>
    <w:rsid w:val="00B72D7C"/>
    <w:rsid w:val="00B730F3"/>
    <w:rsid w:val="00B7377C"/>
    <w:rsid w:val="00B74186"/>
    <w:rsid w:val="00B74237"/>
    <w:rsid w:val="00B76A72"/>
    <w:rsid w:val="00B76C48"/>
    <w:rsid w:val="00B82D01"/>
    <w:rsid w:val="00B84E92"/>
    <w:rsid w:val="00B87E08"/>
    <w:rsid w:val="00B922E1"/>
    <w:rsid w:val="00B93D06"/>
    <w:rsid w:val="00B96211"/>
    <w:rsid w:val="00B97008"/>
    <w:rsid w:val="00BA3417"/>
    <w:rsid w:val="00BA4ACE"/>
    <w:rsid w:val="00BA6456"/>
    <w:rsid w:val="00BA7B29"/>
    <w:rsid w:val="00BB70A0"/>
    <w:rsid w:val="00BB780C"/>
    <w:rsid w:val="00BB7AE8"/>
    <w:rsid w:val="00BC0325"/>
    <w:rsid w:val="00BC4864"/>
    <w:rsid w:val="00BC77C9"/>
    <w:rsid w:val="00BD606C"/>
    <w:rsid w:val="00BD63E5"/>
    <w:rsid w:val="00BD693C"/>
    <w:rsid w:val="00BE08AA"/>
    <w:rsid w:val="00BE0F48"/>
    <w:rsid w:val="00BE23BA"/>
    <w:rsid w:val="00BE4D90"/>
    <w:rsid w:val="00BF05FC"/>
    <w:rsid w:val="00BF10D3"/>
    <w:rsid w:val="00BF328B"/>
    <w:rsid w:val="00BF654F"/>
    <w:rsid w:val="00BF6C28"/>
    <w:rsid w:val="00C00181"/>
    <w:rsid w:val="00C01A65"/>
    <w:rsid w:val="00C02BAD"/>
    <w:rsid w:val="00C02CCC"/>
    <w:rsid w:val="00C04F37"/>
    <w:rsid w:val="00C12243"/>
    <w:rsid w:val="00C13A6C"/>
    <w:rsid w:val="00C14083"/>
    <w:rsid w:val="00C152F5"/>
    <w:rsid w:val="00C26DF8"/>
    <w:rsid w:val="00C301BC"/>
    <w:rsid w:val="00C31DBD"/>
    <w:rsid w:val="00C356C6"/>
    <w:rsid w:val="00C3716A"/>
    <w:rsid w:val="00C402F8"/>
    <w:rsid w:val="00C40692"/>
    <w:rsid w:val="00C42B99"/>
    <w:rsid w:val="00C42E19"/>
    <w:rsid w:val="00C473BD"/>
    <w:rsid w:val="00C50870"/>
    <w:rsid w:val="00C54026"/>
    <w:rsid w:val="00C542E2"/>
    <w:rsid w:val="00C5490F"/>
    <w:rsid w:val="00C61C49"/>
    <w:rsid w:val="00C67BB6"/>
    <w:rsid w:val="00C734C4"/>
    <w:rsid w:val="00C74B5E"/>
    <w:rsid w:val="00C83B06"/>
    <w:rsid w:val="00C841E9"/>
    <w:rsid w:val="00C8480D"/>
    <w:rsid w:val="00C8631B"/>
    <w:rsid w:val="00C90BB6"/>
    <w:rsid w:val="00C94CEE"/>
    <w:rsid w:val="00C959B2"/>
    <w:rsid w:val="00C96904"/>
    <w:rsid w:val="00CA5187"/>
    <w:rsid w:val="00CA5875"/>
    <w:rsid w:val="00CB0191"/>
    <w:rsid w:val="00CB11CD"/>
    <w:rsid w:val="00CB256F"/>
    <w:rsid w:val="00CB3D9E"/>
    <w:rsid w:val="00CC03F7"/>
    <w:rsid w:val="00CC047A"/>
    <w:rsid w:val="00CC3ACB"/>
    <w:rsid w:val="00CC5F8D"/>
    <w:rsid w:val="00CD271D"/>
    <w:rsid w:val="00CD6BC3"/>
    <w:rsid w:val="00CE06AD"/>
    <w:rsid w:val="00CE0B60"/>
    <w:rsid w:val="00CE2A59"/>
    <w:rsid w:val="00CE30E8"/>
    <w:rsid w:val="00CE5EB7"/>
    <w:rsid w:val="00CF1277"/>
    <w:rsid w:val="00CF37A7"/>
    <w:rsid w:val="00CF3D8A"/>
    <w:rsid w:val="00CF3EAD"/>
    <w:rsid w:val="00CF6524"/>
    <w:rsid w:val="00D0022C"/>
    <w:rsid w:val="00D02857"/>
    <w:rsid w:val="00D02D1C"/>
    <w:rsid w:val="00D06194"/>
    <w:rsid w:val="00D06B04"/>
    <w:rsid w:val="00D10586"/>
    <w:rsid w:val="00D12889"/>
    <w:rsid w:val="00D1610C"/>
    <w:rsid w:val="00D17DE6"/>
    <w:rsid w:val="00D17F8D"/>
    <w:rsid w:val="00D263A2"/>
    <w:rsid w:val="00D30B5B"/>
    <w:rsid w:val="00D30C03"/>
    <w:rsid w:val="00D3478C"/>
    <w:rsid w:val="00D35B5F"/>
    <w:rsid w:val="00D35D6F"/>
    <w:rsid w:val="00D448D9"/>
    <w:rsid w:val="00D47139"/>
    <w:rsid w:val="00D550D4"/>
    <w:rsid w:val="00D55982"/>
    <w:rsid w:val="00D5764C"/>
    <w:rsid w:val="00D62EE6"/>
    <w:rsid w:val="00D656C9"/>
    <w:rsid w:val="00D66A5E"/>
    <w:rsid w:val="00D7432B"/>
    <w:rsid w:val="00D759D8"/>
    <w:rsid w:val="00D75C31"/>
    <w:rsid w:val="00D84274"/>
    <w:rsid w:val="00D8789E"/>
    <w:rsid w:val="00D87E64"/>
    <w:rsid w:val="00D960A4"/>
    <w:rsid w:val="00D967D1"/>
    <w:rsid w:val="00D976E1"/>
    <w:rsid w:val="00DA1EFD"/>
    <w:rsid w:val="00DA303E"/>
    <w:rsid w:val="00DA395D"/>
    <w:rsid w:val="00DA4678"/>
    <w:rsid w:val="00DA46E8"/>
    <w:rsid w:val="00DA79BC"/>
    <w:rsid w:val="00DB00B1"/>
    <w:rsid w:val="00DB40E9"/>
    <w:rsid w:val="00DB5E43"/>
    <w:rsid w:val="00DC0976"/>
    <w:rsid w:val="00DC1A07"/>
    <w:rsid w:val="00DC271C"/>
    <w:rsid w:val="00DC4F4D"/>
    <w:rsid w:val="00DC6CA7"/>
    <w:rsid w:val="00DC7824"/>
    <w:rsid w:val="00DD08C3"/>
    <w:rsid w:val="00DD4140"/>
    <w:rsid w:val="00DD42AF"/>
    <w:rsid w:val="00DD7D22"/>
    <w:rsid w:val="00DE20F5"/>
    <w:rsid w:val="00DE25DC"/>
    <w:rsid w:val="00DE478E"/>
    <w:rsid w:val="00DE6F64"/>
    <w:rsid w:val="00DE745C"/>
    <w:rsid w:val="00DF65BA"/>
    <w:rsid w:val="00DF7304"/>
    <w:rsid w:val="00E06CDD"/>
    <w:rsid w:val="00E0734E"/>
    <w:rsid w:val="00E11C38"/>
    <w:rsid w:val="00E131FA"/>
    <w:rsid w:val="00E134BB"/>
    <w:rsid w:val="00E135DB"/>
    <w:rsid w:val="00E15EED"/>
    <w:rsid w:val="00E21DEB"/>
    <w:rsid w:val="00E23C64"/>
    <w:rsid w:val="00E23F86"/>
    <w:rsid w:val="00E27106"/>
    <w:rsid w:val="00E31FAE"/>
    <w:rsid w:val="00E32E90"/>
    <w:rsid w:val="00E342F2"/>
    <w:rsid w:val="00E356A1"/>
    <w:rsid w:val="00E3643E"/>
    <w:rsid w:val="00E41028"/>
    <w:rsid w:val="00E42B10"/>
    <w:rsid w:val="00E431C7"/>
    <w:rsid w:val="00E4410D"/>
    <w:rsid w:val="00E44738"/>
    <w:rsid w:val="00E46133"/>
    <w:rsid w:val="00E46F3D"/>
    <w:rsid w:val="00E512F4"/>
    <w:rsid w:val="00E53230"/>
    <w:rsid w:val="00E618E2"/>
    <w:rsid w:val="00E6223F"/>
    <w:rsid w:val="00E63BB1"/>
    <w:rsid w:val="00E65307"/>
    <w:rsid w:val="00E653DE"/>
    <w:rsid w:val="00E65F4E"/>
    <w:rsid w:val="00E73EDA"/>
    <w:rsid w:val="00E74C34"/>
    <w:rsid w:val="00E756E2"/>
    <w:rsid w:val="00E77FB5"/>
    <w:rsid w:val="00E81421"/>
    <w:rsid w:val="00E81BB7"/>
    <w:rsid w:val="00E909EE"/>
    <w:rsid w:val="00E91746"/>
    <w:rsid w:val="00E9238F"/>
    <w:rsid w:val="00E94ACA"/>
    <w:rsid w:val="00E97765"/>
    <w:rsid w:val="00E97D7E"/>
    <w:rsid w:val="00EA17AD"/>
    <w:rsid w:val="00EA3EE6"/>
    <w:rsid w:val="00EA6312"/>
    <w:rsid w:val="00EB28B3"/>
    <w:rsid w:val="00EB6292"/>
    <w:rsid w:val="00EB6FB9"/>
    <w:rsid w:val="00EC2279"/>
    <w:rsid w:val="00EC22FA"/>
    <w:rsid w:val="00EC648D"/>
    <w:rsid w:val="00ED072B"/>
    <w:rsid w:val="00ED70C4"/>
    <w:rsid w:val="00EE4061"/>
    <w:rsid w:val="00EE428D"/>
    <w:rsid w:val="00EE4BB3"/>
    <w:rsid w:val="00EE4C2A"/>
    <w:rsid w:val="00EE71C7"/>
    <w:rsid w:val="00EF11A4"/>
    <w:rsid w:val="00EF1F10"/>
    <w:rsid w:val="00EF6F32"/>
    <w:rsid w:val="00F02189"/>
    <w:rsid w:val="00F022EE"/>
    <w:rsid w:val="00F0609A"/>
    <w:rsid w:val="00F14217"/>
    <w:rsid w:val="00F16B8E"/>
    <w:rsid w:val="00F17099"/>
    <w:rsid w:val="00F2095B"/>
    <w:rsid w:val="00F20FBB"/>
    <w:rsid w:val="00F2413C"/>
    <w:rsid w:val="00F2442E"/>
    <w:rsid w:val="00F24D4B"/>
    <w:rsid w:val="00F25A54"/>
    <w:rsid w:val="00F26F5A"/>
    <w:rsid w:val="00F27CD5"/>
    <w:rsid w:val="00F342E2"/>
    <w:rsid w:val="00F418CD"/>
    <w:rsid w:val="00F43309"/>
    <w:rsid w:val="00F4358B"/>
    <w:rsid w:val="00F44AB6"/>
    <w:rsid w:val="00F44F41"/>
    <w:rsid w:val="00F47A01"/>
    <w:rsid w:val="00F51BF6"/>
    <w:rsid w:val="00F5383F"/>
    <w:rsid w:val="00F5555B"/>
    <w:rsid w:val="00F57E47"/>
    <w:rsid w:val="00F6164D"/>
    <w:rsid w:val="00F66B3F"/>
    <w:rsid w:val="00F72D7F"/>
    <w:rsid w:val="00F73890"/>
    <w:rsid w:val="00F74E38"/>
    <w:rsid w:val="00F75B39"/>
    <w:rsid w:val="00F779E2"/>
    <w:rsid w:val="00F80C7C"/>
    <w:rsid w:val="00F8352A"/>
    <w:rsid w:val="00F85803"/>
    <w:rsid w:val="00F8584D"/>
    <w:rsid w:val="00F85CF4"/>
    <w:rsid w:val="00F864BE"/>
    <w:rsid w:val="00F91215"/>
    <w:rsid w:val="00F924B4"/>
    <w:rsid w:val="00F9665E"/>
    <w:rsid w:val="00FA35AD"/>
    <w:rsid w:val="00FA6576"/>
    <w:rsid w:val="00FB2862"/>
    <w:rsid w:val="00FB36E2"/>
    <w:rsid w:val="00FB3F73"/>
    <w:rsid w:val="00FB4B37"/>
    <w:rsid w:val="00FB56EF"/>
    <w:rsid w:val="00FC2EA6"/>
    <w:rsid w:val="00FC6A01"/>
    <w:rsid w:val="00FD175D"/>
    <w:rsid w:val="00FD7827"/>
    <w:rsid w:val="00FD7D00"/>
    <w:rsid w:val="00FE0E90"/>
    <w:rsid w:val="00FE33B4"/>
    <w:rsid w:val="00FE49E3"/>
    <w:rsid w:val="00FE71C8"/>
    <w:rsid w:val="00FE761C"/>
    <w:rsid w:val="00FF0935"/>
    <w:rsid w:val="00FF4E45"/>
    <w:rsid w:val="00FF59AA"/>
    <w:rsid w:val="00FF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FC6B7"/>
  <w15:docId w15:val="{D303FC59-4F5D-4500-AF1C-2C0747BB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9BC"/>
    <w:pPr>
      <w:spacing w:after="240"/>
    </w:pPr>
    <w:rPr>
      <w:rFonts w:ascii="Mute" w:hAnsi="Mute"/>
      <w:color w:val="003865"/>
      <w:sz w:val="22"/>
      <w:lang w:val="en-GB"/>
    </w:rPr>
  </w:style>
  <w:style w:type="paragraph" w:styleId="Heading1">
    <w:name w:val="heading 1"/>
    <w:basedOn w:val="Normal"/>
    <w:next w:val="Normal"/>
    <w:qFormat/>
    <w:rsid w:val="002F2F4B"/>
    <w:pPr>
      <w:keepNext/>
      <w:numPr>
        <w:numId w:val="2"/>
      </w:numPr>
      <w:spacing w:after="180"/>
      <w:outlineLvl w:val="0"/>
    </w:pPr>
    <w:rPr>
      <w:b/>
      <w:sz w:val="28"/>
    </w:rPr>
  </w:style>
  <w:style w:type="paragraph" w:styleId="Heading2">
    <w:name w:val="heading 2"/>
    <w:basedOn w:val="Normal"/>
    <w:next w:val="Normal"/>
    <w:qFormat/>
    <w:rsid w:val="002F2F4B"/>
    <w:pPr>
      <w:keepNext/>
      <w:numPr>
        <w:ilvl w:val="1"/>
        <w:numId w:val="2"/>
      </w:numPr>
      <w:spacing w:after="180"/>
      <w:outlineLvl w:val="1"/>
    </w:pPr>
    <w:rPr>
      <w:b/>
      <w:color w:val="009DE0"/>
      <w:sz w:val="24"/>
    </w:rPr>
  </w:style>
  <w:style w:type="paragraph" w:styleId="Heading3">
    <w:name w:val="heading 3"/>
    <w:basedOn w:val="Normal"/>
    <w:next w:val="Normal"/>
    <w:qFormat/>
    <w:rsid w:val="002F2F4B"/>
    <w:pPr>
      <w:keepNext/>
      <w:numPr>
        <w:ilvl w:val="2"/>
        <w:numId w:val="2"/>
      </w:numPr>
      <w:spacing w:after="180"/>
      <w:outlineLvl w:val="2"/>
    </w:pPr>
    <w:rPr>
      <w:b/>
      <w:color w:val="868D95"/>
      <w:sz w:val="24"/>
    </w:rPr>
  </w:style>
  <w:style w:type="paragraph" w:styleId="Heading4">
    <w:name w:val="heading 4"/>
    <w:basedOn w:val="Normal"/>
    <w:next w:val="Normal"/>
    <w:qFormat/>
    <w:rsid w:val="002F2F4B"/>
    <w:pPr>
      <w:keepNext/>
      <w:numPr>
        <w:ilvl w:val="3"/>
        <w:numId w:val="2"/>
      </w:numPr>
      <w:spacing w:after="180"/>
      <w:outlineLvl w:val="3"/>
    </w:pPr>
    <w:rPr>
      <w:bCs/>
      <w:color w:val="868D9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rPr>
      <w:color w:val="868D95"/>
      <w:sz w:val="12"/>
    </w:rPr>
  </w:style>
  <w:style w:type="paragraph" w:customStyle="1" w:styleId="Base">
    <w:name w:val="Base"/>
    <w:rPr>
      <w:rFonts w:ascii="Mute" w:hAnsi="Mute"/>
      <w:color w:val="003865"/>
      <w:sz w:val="18"/>
    </w:rPr>
  </w:style>
  <w:style w:type="paragraph" w:customStyle="1" w:styleId="TableLogoText">
    <w:name w:val="Table Logo Text"/>
    <w:basedOn w:val="Base"/>
    <w:rsid w:val="000A7310"/>
    <w:pPr>
      <w:spacing w:line="260" w:lineRule="atLeast"/>
    </w:pPr>
    <w:rPr>
      <w:sz w:val="22"/>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rsid w:val="00D55982"/>
    <w:rPr>
      <w:noProof/>
      <w:sz w:val="2"/>
    </w:rPr>
  </w:style>
  <w:style w:type="paragraph" w:customStyle="1" w:styleId="Filestamp">
    <w:name w:val="Filestamp"/>
    <w:basedOn w:val="Base"/>
    <w:rsid w:val="00121041"/>
    <w:rPr>
      <w:noProof/>
      <w:color w:val="868D95"/>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eInfo">
    <w:name w:val="Addressee Info"/>
    <w:basedOn w:val="Base"/>
    <w:rsid w:val="00A725C3"/>
    <w:rPr>
      <w:noProof/>
      <w:sz w:val="22"/>
    </w:rPr>
  </w:style>
  <w:style w:type="paragraph" w:customStyle="1" w:styleId="DocumentName">
    <w:name w:val="Document Name"/>
    <w:basedOn w:val="Base"/>
    <w:next w:val="Normal"/>
    <w:rsid w:val="00121041"/>
    <w:pPr>
      <w:spacing w:after="180" w:line="624" w:lineRule="exact"/>
    </w:pPr>
    <w:rPr>
      <w:rFonts w:ascii="Grifo S" w:hAnsi="Grifo S"/>
      <w:b/>
      <w:sz w:val="68"/>
    </w:rPr>
  </w:style>
  <w:style w:type="paragraph" w:styleId="BalloonText">
    <w:name w:val="Balloon Text"/>
    <w:basedOn w:val="Normal"/>
    <w:link w:val="BalloonTextChar"/>
    <w:semiHidden/>
    <w:rsid w:val="00CE06AD"/>
    <w:rPr>
      <w:rFonts w:ascii="Tahoma" w:hAnsi="Tahoma" w:cs="Tahoma"/>
      <w:sz w:val="16"/>
      <w:szCs w:val="16"/>
    </w:rPr>
  </w:style>
  <w:style w:type="character" w:customStyle="1" w:styleId="BalloonTextChar">
    <w:name w:val="Balloon Text Char"/>
    <w:basedOn w:val="DefaultParagraphFont"/>
    <w:link w:val="BalloonText"/>
    <w:semiHidden/>
    <w:rsid w:val="00C734C4"/>
    <w:rPr>
      <w:rFonts w:ascii="Tahoma" w:hAnsi="Tahoma" w:cs="Tahoma"/>
      <w:sz w:val="16"/>
      <w:szCs w:val="16"/>
      <w:lang w:val="en-GB"/>
    </w:rPr>
  </w:style>
  <w:style w:type="paragraph" w:customStyle="1" w:styleId="Page2Heading">
    <w:name w:val="Page 2 Heading"/>
    <w:basedOn w:val="Base"/>
    <w:rsid w:val="00140FBA"/>
    <w:pPr>
      <w:widowControl w:val="0"/>
    </w:pPr>
    <w:rPr>
      <w:color w:val="868D95"/>
    </w:rPr>
  </w:style>
  <w:style w:type="paragraph" w:customStyle="1" w:styleId="Tagline">
    <w:name w:val="Tagline"/>
    <w:basedOn w:val="Base"/>
    <w:next w:val="Normal"/>
    <w:rsid w:val="00010E00"/>
    <w:pPr>
      <w:spacing w:line="385" w:lineRule="exact"/>
    </w:pPr>
    <w:rPr>
      <w:color w:val="868D95"/>
      <w:sz w:val="28"/>
    </w:rPr>
  </w:style>
  <w:style w:type="paragraph" w:customStyle="1" w:styleId="FaxTagline">
    <w:name w:val="Fax Tagline"/>
    <w:basedOn w:val="Base"/>
    <w:next w:val="Normal"/>
    <w:link w:val="FaxTaglineChar"/>
    <w:rsid w:val="002F2F4B"/>
    <w:pPr>
      <w:spacing w:line="385" w:lineRule="exact"/>
    </w:pPr>
    <w:rPr>
      <w:color w:val="000000"/>
      <w:sz w:val="28"/>
    </w:rPr>
  </w:style>
  <w:style w:type="character" w:customStyle="1" w:styleId="FaxTaglineChar">
    <w:name w:val="Fax Tagline Char"/>
    <w:basedOn w:val="DefaultParagraphFont"/>
    <w:link w:val="FaxTagline"/>
    <w:rsid w:val="002F2F4B"/>
    <w:rPr>
      <w:rFonts w:ascii="Mute" w:hAnsi="Mute"/>
      <w:color w:val="000000"/>
      <w:sz w:val="28"/>
    </w:rPr>
  </w:style>
  <w:style w:type="paragraph" w:customStyle="1" w:styleId="BaseBold">
    <w:name w:val="Base Bold"/>
    <w:next w:val="Base"/>
    <w:link w:val="BaseBoldChar"/>
    <w:rsid w:val="002F2F4B"/>
    <w:rPr>
      <w:rFonts w:ascii="Mute" w:hAnsi="Mute"/>
      <w:b/>
      <w:color w:val="003865"/>
      <w:sz w:val="22"/>
    </w:rPr>
  </w:style>
  <w:style w:type="character" w:customStyle="1" w:styleId="BaseBoldChar">
    <w:name w:val="Base Bold Char"/>
    <w:basedOn w:val="DefaultParagraphFont"/>
    <w:link w:val="BaseBold"/>
    <w:rsid w:val="002F2F4B"/>
    <w:rPr>
      <w:rFonts w:ascii="Mute" w:hAnsi="Mute"/>
      <w:b/>
      <w:color w:val="003865"/>
      <w:sz w:val="22"/>
    </w:rPr>
  </w:style>
  <w:style w:type="paragraph" w:styleId="ListBullet">
    <w:name w:val="List Bullet"/>
    <w:basedOn w:val="Normal"/>
    <w:unhideWhenUsed/>
    <w:qFormat/>
    <w:rsid w:val="002F2F4B"/>
    <w:pPr>
      <w:numPr>
        <w:ilvl w:val="4"/>
        <w:numId w:val="1"/>
      </w:numPr>
      <w:outlineLvl w:val="4"/>
    </w:pPr>
  </w:style>
  <w:style w:type="paragraph" w:styleId="ListBullet2">
    <w:name w:val="List Bullet 2"/>
    <w:basedOn w:val="Normal"/>
    <w:unhideWhenUsed/>
    <w:qFormat/>
    <w:rsid w:val="002F2F4B"/>
    <w:pPr>
      <w:numPr>
        <w:ilvl w:val="5"/>
        <w:numId w:val="1"/>
      </w:numPr>
      <w:outlineLvl w:val="5"/>
    </w:pPr>
  </w:style>
  <w:style w:type="paragraph" w:styleId="ListBullet3">
    <w:name w:val="List Bullet 3"/>
    <w:basedOn w:val="Normal"/>
    <w:unhideWhenUsed/>
    <w:qFormat/>
    <w:rsid w:val="002F2F4B"/>
    <w:pPr>
      <w:numPr>
        <w:ilvl w:val="6"/>
        <w:numId w:val="1"/>
      </w:numPr>
      <w:outlineLvl w:val="6"/>
    </w:pPr>
  </w:style>
  <w:style w:type="paragraph" w:styleId="ListBullet4">
    <w:name w:val="List Bullet 4"/>
    <w:basedOn w:val="Normal"/>
    <w:unhideWhenUsed/>
    <w:qFormat/>
    <w:rsid w:val="002F2F4B"/>
    <w:pPr>
      <w:numPr>
        <w:ilvl w:val="7"/>
        <w:numId w:val="1"/>
      </w:numPr>
      <w:outlineLvl w:val="7"/>
    </w:pPr>
  </w:style>
  <w:style w:type="paragraph" w:customStyle="1" w:styleId="NormalIndent1">
    <w:name w:val="Normal Indent 1"/>
    <w:basedOn w:val="Normal"/>
    <w:link w:val="NormalIndent1Char"/>
    <w:qFormat/>
    <w:rsid w:val="002F2F4B"/>
    <w:pPr>
      <w:ind w:left="360"/>
    </w:pPr>
  </w:style>
  <w:style w:type="character" w:customStyle="1" w:styleId="NormalIndent1Char">
    <w:name w:val="Normal Indent 1 Char"/>
    <w:basedOn w:val="DefaultParagraphFont"/>
    <w:link w:val="NormalIndent1"/>
    <w:rsid w:val="002F2F4B"/>
    <w:rPr>
      <w:rFonts w:ascii="Mute" w:hAnsi="Mute"/>
      <w:color w:val="003865"/>
      <w:sz w:val="22"/>
    </w:rPr>
  </w:style>
  <w:style w:type="paragraph" w:customStyle="1" w:styleId="NormalIndent2">
    <w:name w:val="Normal Indent 2"/>
    <w:basedOn w:val="Normal"/>
    <w:link w:val="NormalIndent2Char"/>
    <w:qFormat/>
    <w:rsid w:val="002F2F4B"/>
    <w:pPr>
      <w:ind w:left="720"/>
    </w:pPr>
  </w:style>
  <w:style w:type="character" w:customStyle="1" w:styleId="NormalIndent2Char">
    <w:name w:val="Normal Indent 2 Char"/>
    <w:basedOn w:val="DefaultParagraphFont"/>
    <w:link w:val="NormalIndent2"/>
    <w:rsid w:val="002F2F4B"/>
    <w:rPr>
      <w:rFonts w:ascii="Mute" w:hAnsi="Mute"/>
      <w:color w:val="003865"/>
      <w:sz w:val="22"/>
    </w:rPr>
  </w:style>
  <w:style w:type="paragraph" w:customStyle="1" w:styleId="NormalIndent3">
    <w:name w:val="Normal Indent 3"/>
    <w:basedOn w:val="Normal"/>
    <w:link w:val="NormalIndent3Char"/>
    <w:qFormat/>
    <w:rsid w:val="002F2F4B"/>
    <w:pPr>
      <w:ind w:left="1080"/>
    </w:pPr>
  </w:style>
  <w:style w:type="character" w:customStyle="1" w:styleId="NormalIndent3Char">
    <w:name w:val="Normal Indent 3 Char"/>
    <w:basedOn w:val="DefaultParagraphFont"/>
    <w:link w:val="NormalIndent3"/>
    <w:rsid w:val="002F2F4B"/>
    <w:rPr>
      <w:rFonts w:ascii="Mute" w:hAnsi="Mute"/>
      <w:color w:val="003865"/>
      <w:sz w:val="22"/>
    </w:rPr>
  </w:style>
  <w:style w:type="paragraph" w:customStyle="1" w:styleId="NormalIndent4">
    <w:name w:val="Normal Indent 4"/>
    <w:basedOn w:val="Normal"/>
    <w:link w:val="NormalIndent4Char"/>
    <w:qFormat/>
    <w:rsid w:val="002F2F4B"/>
    <w:pPr>
      <w:ind w:left="1440"/>
    </w:pPr>
  </w:style>
  <w:style w:type="character" w:customStyle="1" w:styleId="NormalIndent4Char">
    <w:name w:val="Normal Indent 4 Char"/>
    <w:basedOn w:val="DefaultParagraphFont"/>
    <w:link w:val="NormalIndent4"/>
    <w:rsid w:val="002F2F4B"/>
    <w:rPr>
      <w:rFonts w:ascii="Mute" w:hAnsi="Mute"/>
      <w:color w:val="003865"/>
      <w:sz w:val="22"/>
    </w:rPr>
  </w:style>
  <w:style w:type="paragraph" w:styleId="ListNumber">
    <w:name w:val="List Number"/>
    <w:basedOn w:val="Normal"/>
    <w:qFormat/>
    <w:rsid w:val="002F2F4B"/>
    <w:pPr>
      <w:numPr>
        <w:ilvl w:val="5"/>
        <w:numId w:val="3"/>
      </w:numPr>
      <w:outlineLvl w:val="5"/>
    </w:pPr>
  </w:style>
  <w:style w:type="paragraph" w:styleId="ListNumber2">
    <w:name w:val="List Number 2"/>
    <w:basedOn w:val="Normal"/>
    <w:semiHidden/>
    <w:unhideWhenUsed/>
    <w:qFormat/>
    <w:rsid w:val="002F2F4B"/>
    <w:pPr>
      <w:numPr>
        <w:ilvl w:val="6"/>
        <w:numId w:val="3"/>
      </w:numPr>
      <w:outlineLvl w:val="6"/>
    </w:pPr>
  </w:style>
  <w:style w:type="paragraph" w:styleId="ListNumber3">
    <w:name w:val="List Number 3"/>
    <w:basedOn w:val="Normal"/>
    <w:semiHidden/>
    <w:unhideWhenUsed/>
    <w:qFormat/>
    <w:rsid w:val="002F2F4B"/>
    <w:pPr>
      <w:numPr>
        <w:ilvl w:val="7"/>
        <w:numId w:val="3"/>
      </w:numPr>
      <w:outlineLvl w:val="7"/>
    </w:pPr>
  </w:style>
  <w:style w:type="paragraph" w:styleId="ListNumber4">
    <w:name w:val="List Number 4"/>
    <w:basedOn w:val="Normal"/>
    <w:semiHidden/>
    <w:unhideWhenUsed/>
    <w:qFormat/>
    <w:rsid w:val="002F2F4B"/>
    <w:pPr>
      <w:numPr>
        <w:ilvl w:val="8"/>
        <w:numId w:val="3"/>
      </w:numPr>
      <w:outlineLvl w:val="8"/>
    </w:pPr>
  </w:style>
  <w:style w:type="paragraph" w:customStyle="1" w:styleId="LogoHide2">
    <w:name w:val="Logo Hide 2"/>
    <w:basedOn w:val="Base"/>
    <w:next w:val="Base"/>
    <w:link w:val="LogoHide2Char"/>
    <w:rsid w:val="002F2F4B"/>
    <w:rPr>
      <w:noProof/>
      <w:sz w:val="22"/>
    </w:rPr>
  </w:style>
  <w:style w:type="character" w:customStyle="1" w:styleId="LogoHide2Char">
    <w:name w:val="Logo Hide 2 Char"/>
    <w:basedOn w:val="DefaultParagraphFont"/>
    <w:link w:val="LogoHide2"/>
    <w:rsid w:val="002F2F4B"/>
    <w:rPr>
      <w:rFonts w:ascii="Mute" w:hAnsi="Mute"/>
      <w:noProof/>
      <w:color w:val="003865"/>
      <w:sz w:val="22"/>
    </w:rPr>
  </w:style>
  <w:style w:type="paragraph" w:customStyle="1" w:styleId="Questions">
    <w:name w:val="Questions"/>
    <w:basedOn w:val="Normal"/>
    <w:next w:val="Normal"/>
    <w:link w:val="QuestionsChar"/>
    <w:qFormat/>
    <w:rsid w:val="002F2F4B"/>
    <w:pPr>
      <w:keepNext/>
      <w:spacing w:after="0"/>
    </w:pPr>
    <w:rPr>
      <w:rFonts w:ascii="Grifo S" w:hAnsi="Grifo S"/>
      <w:b/>
      <w:sz w:val="28"/>
    </w:rPr>
  </w:style>
  <w:style w:type="character" w:customStyle="1" w:styleId="QuestionsChar">
    <w:name w:val="Questions Char"/>
    <w:basedOn w:val="DefaultParagraphFont"/>
    <w:link w:val="Questions"/>
    <w:rsid w:val="002F2F4B"/>
    <w:rPr>
      <w:rFonts w:ascii="Grifo S" w:hAnsi="Grifo S"/>
      <w:b/>
      <w:color w:val="003865"/>
      <w:sz w:val="28"/>
    </w:rPr>
  </w:style>
  <w:style w:type="paragraph" w:styleId="Quote">
    <w:name w:val="Quote"/>
    <w:basedOn w:val="Normal"/>
    <w:next w:val="Normal"/>
    <w:link w:val="QuoteChar"/>
    <w:qFormat/>
    <w:rsid w:val="002F2F4B"/>
    <w:pPr>
      <w:spacing w:before="280" w:after="280"/>
      <w:ind w:left="864" w:right="864"/>
      <w:jc w:val="center"/>
    </w:pPr>
    <w:rPr>
      <w:rFonts w:ascii="Mute Italic" w:hAnsi="Mute Italic"/>
      <w:i/>
      <w:iCs/>
      <w:sz w:val="28"/>
    </w:rPr>
  </w:style>
  <w:style w:type="character" w:customStyle="1" w:styleId="QuoteChar">
    <w:name w:val="Quote Char"/>
    <w:basedOn w:val="DefaultParagraphFont"/>
    <w:link w:val="Quote"/>
    <w:uiPriority w:val="29"/>
    <w:rsid w:val="002F2F4B"/>
    <w:rPr>
      <w:rFonts w:ascii="Mute Italic" w:hAnsi="Mute Italic"/>
      <w:i/>
      <w:iCs/>
      <w:color w:val="003865"/>
      <w:sz w:val="28"/>
    </w:rPr>
  </w:style>
  <w:style w:type="paragraph" w:customStyle="1" w:styleId="TableBullet1">
    <w:name w:val="Table Bullet 1"/>
    <w:basedOn w:val="Normal"/>
    <w:link w:val="TableBullet1Char"/>
    <w:qFormat/>
    <w:rsid w:val="002F2F4B"/>
    <w:pPr>
      <w:numPr>
        <w:ilvl w:val="4"/>
        <w:numId w:val="4"/>
      </w:numPr>
      <w:spacing w:before="40" w:after="40" w:line="260" w:lineRule="atLeast"/>
      <w:outlineLvl w:val="4"/>
    </w:pPr>
  </w:style>
  <w:style w:type="character" w:customStyle="1" w:styleId="TableBullet1Char">
    <w:name w:val="Table Bullet 1 Char"/>
    <w:basedOn w:val="DefaultParagraphFont"/>
    <w:link w:val="TableBullet1"/>
    <w:rsid w:val="002F2F4B"/>
    <w:rPr>
      <w:rFonts w:ascii="Mute" w:hAnsi="Mute"/>
      <w:color w:val="003865"/>
      <w:sz w:val="22"/>
    </w:rPr>
  </w:style>
  <w:style w:type="paragraph" w:customStyle="1" w:styleId="TableBullet2">
    <w:name w:val="Table Bullet 2"/>
    <w:basedOn w:val="Normal"/>
    <w:link w:val="TableBullet2Char"/>
    <w:qFormat/>
    <w:rsid w:val="002F2F4B"/>
    <w:pPr>
      <w:numPr>
        <w:ilvl w:val="5"/>
        <w:numId w:val="4"/>
      </w:numPr>
      <w:spacing w:before="40" w:after="40" w:line="260" w:lineRule="atLeast"/>
      <w:outlineLvl w:val="5"/>
    </w:pPr>
  </w:style>
  <w:style w:type="character" w:customStyle="1" w:styleId="TableBullet2Char">
    <w:name w:val="Table Bullet 2 Char"/>
    <w:basedOn w:val="DefaultParagraphFont"/>
    <w:link w:val="TableBullet2"/>
    <w:rsid w:val="002F2F4B"/>
    <w:rPr>
      <w:rFonts w:ascii="Mute" w:hAnsi="Mute"/>
      <w:color w:val="003865"/>
      <w:sz w:val="22"/>
    </w:rPr>
  </w:style>
  <w:style w:type="paragraph" w:customStyle="1" w:styleId="TableBullet3">
    <w:name w:val="Table Bullet 3"/>
    <w:basedOn w:val="Normal"/>
    <w:link w:val="TableBullet3Char"/>
    <w:qFormat/>
    <w:rsid w:val="002F2F4B"/>
    <w:pPr>
      <w:numPr>
        <w:ilvl w:val="6"/>
        <w:numId w:val="4"/>
      </w:numPr>
      <w:spacing w:before="40" w:after="40" w:line="260" w:lineRule="atLeast"/>
      <w:outlineLvl w:val="6"/>
    </w:pPr>
  </w:style>
  <w:style w:type="character" w:customStyle="1" w:styleId="TableBullet3Char">
    <w:name w:val="Table Bullet 3 Char"/>
    <w:basedOn w:val="DefaultParagraphFont"/>
    <w:link w:val="TableBullet3"/>
    <w:rsid w:val="002F2F4B"/>
    <w:rPr>
      <w:rFonts w:ascii="Mute" w:hAnsi="Mute"/>
      <w:color w:val="003865"/>
      <w:sz w:val="22"/>
    </w:rPr>
  </w:style>
  <w:style w:type="paragraph" w:customStyle="1" w:styleId="TableBullet4">
    <w:name w:val="Table Bullet 4"/>
    <w:basedOn w:val="Normal"/>
    <w:link w:val="TableBullet4Char"/>
    <w:qFormat/>
    <w:rsid w:val="002F2F4B"/>
    <w:pPr>
      <w:numPr>
        <w:ilvl w:val="7"/>
        <w:numId w:val="4"/>
      </w:numPr>
      <w:spacing w:before="40" w:after="40" w:line="260" w:lineRule="atLeast"/>
      <w:outlineLvl w:val="7"/>
    </w:pPr>
  </w:style>
  <w:style w:type="character" w:customStyle="1" w:styleId="TableBullet4Char">
    <w:name w:val="Table Bullet 4 Char"/>
    <w:basedOn w:val="DefaultParagraphFont"/>
    <w:link w:val="TableBullet4"/>
    <w:rsid w:val="002F2F4B"/>
    <w:rPr>
      <w:rFonts w:ascii="Mute" w:hAnsi="Mute"/>
      <w:color w:val="003865"/>
      <w:sz w:val="22"/>
    </w:rPr>
  </w:style>
  <w:style w:type="paragraph" w:customStyle="1" w:styleId="TableHeadingText">
    <w:name w:val="Table Heading Text"/>
    <w:basedOn w:val="Normal"/>
    <w:link w:val="TableHeadingTextChar"/>
    <w:qFormat/>
    <w:rsid w:val="002F2F4B"/>
    <w:pPr>
      <w:keepNext/>
      <w:spacing w:before="40" w:after="40" w:line="260" w:lineRule="atLeast"/>
    </w:pPr>
    <w:rPr>
      <w:b/>
      <w:color w:val="FFFFFF"/>
    </w:rPr>
  </w:style>
  <w:style w:type="character" w:customStyle="1" w:styleId="TableHeadingTextChar">
    <w:name w:val="Table Heading Text Char"/>
    <w:basedOn w:val="DefaultParagraphFont"/>
    <w:link w:val="TableHeadingText"/>
    <w:rsid w:val="002F2F4B"/>
    <w:rPr>
      <w:rFonts w:ascii="Mute" w:hAnsi="Mute"/>
      <w:b/>
      <w:color w:val="FFFFFF"/>
      <w:sz w:val="22"/>
    </w:rPr>
  </w:style>
  <w:style w:type="paragraph" w:customStyle="1" w:styleId="TableText">
    <w:name w:val="Table Text"/>
    <w:basedOn w:val="Normal"/>
    <w:link w:val="TableTextChar"/>
    <w:qFormat/>
    <w:rsid w:val="002F2F4B"/>
    <w:pPr>
      <w:spacing w:before="40" w:after="40" w:line="260" w:lineRule="atLeast"/>
    </w:pPr>
  </w:style>
  <w:style w:type="character" w:customStyle="1" w:styleId="TableTextChar">
    <w:name w:val="Table Text Char"/>
    <w:basedOn w:val="DefaultParagraphFont"/>
    <w:link w:val="TableText"/>
    <w:rsid w:val="002F2F4B"/>
    <w:rPr>
      <w:rFonts w:ascii="Mute" w:hAnsi="Mute"/>
      <w:color w:val="003865"/>
      <w:sz w:val="22"/>
    </w:rPr>
  </w:style>
  <w:style w:type="paragraph" w:customStyle="1" w:styleId="HeadingNumber1">
    <w:name w:val="Heading Number 1"/>
    <w:basedOn w:val="Normal"/>
    <w:next w:val="NormalIndent2"/>
    <w:link w:val="HeadingNumber1Char"/>
    <w:qFormat/>
    <w:rsid w:val="002F2F4B"/>
    <w:pPr>
      <w:keepNext/>
      <w:numPr>
        <w:ilvl w:val="4"/>
        <w:numId w:val="5"/>
      </w:numPr>
      <w:spacing w:after="180"/>
      <w:outlineLvl w:val="4"/>
    </w:pPr>
    <w:rPr>
      <w:b/>
      <w:sz w:val="28"/>
    </w:rPr>
  </w:style>
  <w:style w:type="character" w:customStyle="1" w:styleId="HeadingNumber1Char">
    <w:name w:val="Heading Number 1 Char"/>
    <w:basedOn w:val="DefaultParagraphFont"/>
    <w:link w:val="HeadingNumber1"/>
    <w:rsid w:val="002F2F4B"/>
    <w:rPr>
      <w:rFonts w:ascii="Mute" w:hAnsi="Mute"/>
      <w:b/>
      <w:color w:val="003865"/>
      <w:sz w:val="28"/>
    </w:rPr>
  </w:style>
  <w:style w:type="paragraph" w:customStyle="1" w:styleId="HeadingNumber2">
    <w:name w:val="Heading Number 2"/>
    <w:basedOn w:val="Normal"/>
    <w:next w:val="NormalIndent2"/>
    <w:link w:val="HeadingNumber2Char"/>
    <w:qFormat/>
    <w:rsid w:val="002F2F4B"/>
    <w:pPr>
      <w:keepNext/>
      <w:numPr>
        <w:ilvl w:val="5"/>
        <w:numId w:val="5"/>
      </w:numPr>
      <w:spacing w:after="180"/>
      <w:outlineLvl w:val="5"/>
    </w:pPr>
    <w:rPr>
      <w:color w:val="009DE0"/>
      <w:sz w:val="24"/>
    </w:rPr>
  </w:style>
  <w:style w:type="character" w:customStyle="1" w:styleId="HeadingNumber2Char">
    <w:name w:val="Heading Number 2 Char"/>
    <w:basedOn w:val="DefaultParagraphFont"/>
    <w:link w:val="HeadingNumber2"/>
    <w:rsid w:val="002F2F4B"/>
    <w:rPr>
      <w:rFonts w:ascii="Mute" w:hAnsi="Mute"/>
      <w:color w:val="009DE0"/>
      <w:sz w:val="24"/>
    </w:rPr>
  </w:style>
  <w:style w:type="paragraph" w:customStyle="1" w:styleId="HeadingNumber3">
    <w:name w:val="Heading Number 3"/>
    <w:basedOn w:val="Normal"/>
    <w:next w:val="NormalIndent2"/>
    <w:link w:val="HeadingNumber3Char"/>
    <w:qFormat/>
    <w:rsid w:val="002F2F4B"/>
    <w:pPr>
      <w:keepNext/>
      <w:numPr>
        <w:ilvl w:val="6"/>
        <w:numId w:val="5"/>
      </w:numPr>
      <w:spacing w:after="180"/>
      <w:outlineLvl w:val="6"/>
    </w:pPr>
    <w:rPr>
      <w:b/>
      <w:color w:val="868D95"/>
      <w:sz w:val="24"/>
    </w:rPr>
  </w:style>
  <w:style w:type="character" w:customStyle="1" w:styleId="HeadingNumber3Char">
    <w:name w:val="Heading Number 3 Char"/>
    <w:basedOn w:val="DefaultParagraphFont"/>
    <w:link w:val="HeadingNumber3"/>
    <w:rsid w:val="002F2F4B"/>
    <w:rPr>
      <w:rFonts w:ascii="Mute" w:hAnsi="Mute"/>
      <w:b/>
      <w:color w:val="868D95"/>
      <w:sz w:val="24"/>
    </w:rPr>
  </w:style>
  <w:style w:type="paragraph" w:customStyle="1" w:styleId="HeadingNumber4">
    <w:name w:val="Heading Number 4"/>
    <w:basedOn w:val="Normal"/>
    <w:next w:val="NormalIndent2"/>
    <w:link w:val="HeadingNumber4Char"/>
    <w:qFormat/>
    <w:rsid w:val="002F2F4B"/>
    <w:pPr>
      <w:keepNext/>
      <w:numPr>
        <w:ilvl w:val="7"/>
        <w:numId w:val="5"/>
      </w:numPr>
      <w:spacing w:after="180"/>
      <w:outlineLvl w:val="7"/>
    </w:pPr>
    <w:rPr>
      <w:color w:val="868D95"/>
    </w:rPr>
  </w:style>
  <w:style w:type="character" w:customStyle="1" w:styleId="HeadingNumber4Char">
    <w:name w:val="Heading Number 4 Char"/>
    <w:basedOn w:val="DefaultParagraphFont"/>
    <w:link w:val="HeadingNumber4"/>
    <w:rsid w:val="002F2F4B"/>
    <w:rPr>
      <w:rFonts w:ascii="Mute" w:hAnsi="Mute"/>
      <w:color w:val="868D95"/>
      <w:sz w:val="22"/>
    </w:rPr>
  </w:style>
  <w:style w:type="paragraph" w:styleId="Bibliography">
    <w:name w:val="Bibliography"/>
    <w:basedOn w:val="Normal"/>
    <w:next w:val="Normal"/>
    <w:uiPriority w:val="37"/>
    <w:semiHidden/>
    <w:rsid w:val="002F2F4B"/>
  </w:style>
  <w:style w:type="character" w:styleId="BookTitle">
    <w:name w:val="Book Title"/>
    <w:basedOn w:val="DefaultParagraphFont"/>
    <w:uiPriority w:val="33"/>
    <w:semiHidden/>
    <w:qFormat/>
    <w:rsid w:val="002F2F4B"/>
    <w:rPr>
      <w:b/>
      <w:bCs/>
      <w:i/>
      <w:iCs/>
      <w:spacing w:val="5"/>
    </w:rPr>
  </w:style>
  <w:style w:type="paragraph" w:styleId="Caption">
    <w:name w:val="caption"/>
    <w:basedOn w:val="Normal"/>
    <w:next w:val="Normal"/>
    <w:semiHidden/>
    <w:qFormat/>
    <w:rsid w:val="002F2F4B"/>
    <w:pPr>
      <w:spacing w:after="200"/>
    </w:pPr>
    <w:rPr>
      <w:i/>
      <w:iCs/>
      <w:color w:val="868D95" w:themeColor="text2"/>
      <w:sz w:val="18"/>
      <w:szCs w:val="18"/>
    </w:rPr>
  </w:style>
  <w:style w:type="paragraph" w:styleId="DocumentMap">
    <w:name w:val="Document Map"/>
    <w:basedOn w:val="Normal"/>
    <w:link w:val="DocumentMapChar"/>
    <w:semiHidden/>
    <w:rsid w:val="002F2F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2F2F4B"/>
    <w:rPr>
      <w:rFonts w:ascii="Segoe UI" w:hAnsi="Segoe UI" w:cs="Segoe UI"/>
      <w:color w:val="003865"/>
      <w:sz w:val="16"/>
      <w:szCs w:val="16"/>
    </w:rPr>
  </w:style>
  <w:style w:type="paragraph" w:styleId="ListParagraph">
    <w:name w:val="List Paragraph"/>
    <w:aliases w:val="RTC - Bulleted List - multiple levels,PRI Bullets,List Paragraph1,Paragraphe de liste"/>
    <w:basedOn w:val="Normal"/>
    <w:link w:val="ListParagraphChar"/>
    <w:uiPriority w:val="34"/>
    <w:qFormat/>
    <w:rsid w:val="002F2F4B"/>
    <w:pPr>
      <w:ind w:left="720"/>
      <w:contextualSpacing/>
    </w:pPr>
  </w:style>
  <w:style w:type="paragraph" w:styleId="MacroText">
    <w:name w:val="macro"/>
    <w:link w:val="MacroTextChar"/>
    <w:semiHidden/>
    <w:rsid w:val="002F2F4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3865"/>
    </w:rPr>
  </w:style>
  <w:style w:type="character" w:customStyle="1" w:styleId="MacroTextChar">
    <w:name w:val="Macro Text Char"/>
    <w:basedOn w:val="DefaultParagraphFont"/>
    <w:link w:val="MacroText"/>
    <w:semiHidden/>
    <w:rsid w:val="002F2F4B"/>
    <w:rPr>
      <w:rFonts w:ascii="Consolas" w:hAnsi="Consolas"/>
      <w:color w:val="003865"/>
    </w:rPr>
  </w:style>
  <w:style w:type="paragraph" w:styleId="NoSpacing">
    <w:name w:val="No Spacing"/>
    <w:uiPriority w:val="1"/>
    <w:semiHidden/>
    <w:qFormat/>
    <w:rsid w:val="002F2F4B"/>
    <w:rPr>
      <w:rFonts w:ascii="Mute" w:hAnsi="Mute"/>
      <w:color w:val="003865"/>
      <w:sz w:val="22"/>
    </w:rPr>
  </w:style>
  <w:style w:type="paragraph" w:styleId="NormalWeb">
    <w:name w:val="Normal (Web)"/>
    <w:basedOn w:val="Normal"/>
    <w:uiPriority w:val="99"/>
    <w:semiHidden/>
    <w:rsid w:val="002F2F4B"/>
    <w:rPr>
      <w:rFonts w:ascii="Times New Roman" w:hAnsi="Times New Roman"/>
      <w:sz w:val="24"/>
      <w:szCs w:val="24"/>
    </w:rPr>
  </w:style>
  <w:style w:type="character" w:styleId="PlaceholderText">
    <w:name w:val="Placeholder Text"/>
    <w:basedOn w:val="DefaultParagraphFont"/>
    <w:uiPriority w:val="99"/>
    <w:semiHidden/>
    <w:rsid w:val="002F2F4B"/>
    <w:rPr>
      <w:color w:val="808080"/>
    </w:rPr>
  </w:style>
  <w:style w:type="paragraph" w:styleId="TableofAuthorities">
    <w:name w:val="table of authorities"/>
    <w:basedOn w:val="Normal"/>
    <w:next w:val="Normal"/>
    <w:semiHidden/>
    <w:rsid w:val="002F2F4B"/>
    <w:pPr>
      <w:spacing w:after="0"/>
      <w:ind w:left="220" w:hanging="220"/>
    </w:pPr>
  </w:style>
  <w:style w:type="paragraph" w:styleId="TableofFigures">
    <w:name w:val="table of figures"/>
    <w:basedOn w:val="Normal"/>
    <w:next w:val="Normal"/>
    <w:semiHidden/>
    <w:rsid w:val="002F2F4B"/>
    <w:pPr>
      <w:spacing w:after="0"/>
    </w:pPr>
  </w:style>
  <w:style w:type="paragraph" w:styleId="TOAHeading">
    <w:name w:val="toa heading"/>
    <w:basedOn w:val="Normal"/>
    <w:next w:val="Normal"/>
    <w:semiHidden/>
    <w:rsid w:val="002F2F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2F2F4B"/>
    <w:pPr>
      <w:keepLines/>
      <w:numPr>
        <w:numId w:val="0"/>
      </w:numPr>
      <w:spacing w:before="240" w:after="0"/>
      <w:outlineLvl w:val="9"/>
    </w:pPr>
    <w:rPr>
      <w:rFonts w:asciiTheme="majorHAnsi" w:eastAsiaTheme="majorEastAsia" w:hAnsiTheme="majorHAnsi" w:cstheme="majorBidi"/>
      <w:b w:val="0"/>
      <w:color w:val="0075A7" w:themeColor="accent1" w:themeShade="BF"/>
      <w:sz w:val="32"/>
      <w:szCs w:val="32"/>
    </w:rPr>
  </w:style>
  <w:style w:type="character" w:styleId="CommentReference">
    <w:name w:val="annotation reference"/>
    <w:basedOn w:val="DefaultParagraphFont"/>
    <w:uiPriority w:val="99"/>
    <w:semiHidden/>
    <w:rsid w:val="002F2F4B"/>
    <w:rPr>
      <w:sz w:val="16"/>
      <w:szCs w:val="16"/>
    </w:rPr>
  </w:style>
  <w:style w:type="paragraph" w:styleId="CommentText">
    <w:name w:val="annotation text"/>
    <w:basedOn w:val="Normal"/>
    <w:link w:val="CommentTextChar"/>
    <w:uiPriority w:val="99"/>
    <w:semiHidden/>
    <w:rsid w:val="002F2F4B"/>
    <w:rPr>
      <w:sz w:val="20"/>
    </w:rPr>
  </w:style>
  <w:style w:type="character" w:customStyle="1" w:styleId="CommentTextChar">
    <w:name w:val="Comment Text Char"/>
    <w:basedOn w:val="DefaultParagraphFont"/>
    <w:link w:val="CommentText"/>
    <w:uiPriority w:val="99"/>
    <w:rsid w:val="002F2F4B"/>
    <w:rPr>
      <w:rFonts w:ascii="Mute" w:hAnsi="Mute"/>
      <w:color w:val="003865"/>
    </w:rPr>
  </w:style>
  <w:style w:type="paragraph" w:styleId="CommentSubject">
    <w:name w:val="annotation subject"/>
    <w:basedOn w:val="CommentText"/>
    <w:next w:val="CommentText"/>
    <w:link w:val="CommentSubjectChar"/>
    <w:semiHidden/>
    <w:rsid w:val="002F2F4B"/>
    <w:rPr>
      <w:b/>
      <w:bCs/>
    </w:rPr>
  </w:style>
  <w:style w:type="character" w:customStyle="1" w:styleId="CommentSubjectChar">
    <w:name w:val="Comment Subject Char"/>
    <w:basedOn w:val="CommentTextChar"/>
    <w:link w:val="CommentSubject"/>
    <w:semiHidden/>
    <w:rsid w:val="002F2F4B"/>
    <w:rPr>
      <w:rFonts w:ascii="Mute" w:hAnsi="Mute"/>
      <w:b/>
      <w:bCs/>
      <w:color w:val="003865"/>
    </w:rPr>
  </w:style>
  <w:style w:type="character" w:styleId="EndnoteReference">
    <w:name w:val="endnote reference"/>
    <w:basedOn w:val="DefaultParagraphFont"/>
    <w:semiHidden/>
    <w:rsid w:val="002F2F4B"/>
    <w:rPr>
      <w:vertAlign w:val="superscript"/>
    </w:rPr>
  </w:style>
  <w:style w:type="paragraph" w:styleId="EndnoteText">
    <w:name w:val="endnote text"/>
    <w:basedOn w:val="Normal"/>
    <w:link w:val="EndnoteTextChar"/>
    <w:semiHidden/>
    <w:rsid w:val="002F2F4B"/>
    <w:pPr>
      <w:spacing w:after="0"/>
    </w:pPr>
    <w:rPr>
      <w:sz w:val="20"/>
    </w:rPr>
  </w:style>
  <w:style w:type="character" w:customStyle="1" w:styleId="EndnoteTextChar">
    <w:name w:val="Endnote Text Char"/>
    <w:basedOn w:val="DefaultParagraphFont"/>
    <w:link w:val="EndnoteText"/>
    <w:semiHidden/>
    <w:rsid w:val="002F2F4B"/>
    <w:rPr>
      <w:rFonts w:ascii="Mute" w:hAnsi="Mute"/>
      <w:color w:val="003865"/>
    </w:rPr>
  </w:style>
  <w:style w:type="character" w:styleId="FootnoteReference">
    <w:name w:val="footnote reference"/>
    <w:basedOn w:val="DefaultParagraphFont"/>
    <w:semiHidden/>
    <w:rsid w:val="002F2F4B"/>
    <w:rPr>
      <w:vertAlign w:val="superscript"/>
    </w:rPr>
  </w:style>
  <w:style w:type="paragraph" w:styleId="FootnoteText">
    <w:name w:val="footnote text"/>
    <w:basedOn w:val="Normal"/>
    <w:link w:val="FootnoteTextChar"/>
    <w:semiHidden/>
    <w:rsid w:val="002F2F4B"/>
    <w:pPr>
      <w:spacing w:after="0"/>
    </w:pPr>
    <w:rPr>
      <w:sz w:val="20"/>
    </w:rPr>
  </w:style>
  <w:style w:type="character" w:customStyle="1" w:styleId="FootnoteTextChar">
    <w:name w:val="Footnote Text Char"/>
    <w:basedOn w:val="DefaultParagraphFont"/>
    <w:link w:val="FootnoteText"/>
    <w:semiHidden/>
    <w:rsid w:val="002F2F4B"/>
    <w:rPr>
      <w:rFonts w:ascii="Mute" w:hAnsi="Mute"/>
      <w:color w:val="003865"/>
    </w:rPr>
  </w:style>
  <w:style w:type="character" w:styleId="HTMLAcronym">
    <w:name w:val="HTML Acronym"/>
    <w:basedOn w:val="DefaultParagraphFont"/>
    <w:semiHidden/>
    <w:rsid w:val="002F2F4B"/>
  </w:style>
  <w:style w:type="paragraph" w:styleId="HTMLAddress">
    <w:name w:val="HTML Address"/>
    <w:basedOn w:val="Normal"/>
    <w:link w:val="HTMLAddressChar"/>
    <w:semiHidden/>
    <w:rsid w:val="002F2F4B"/>
    <w:pPr>
      <w:spacing w:after="0"/>
    </w:pPr>
    <w:rPr>
      <w:i/>
      <w:iCs/>
    </w:rPr>
  </w:style>
  <w:style w:type="character" w:customStyle="1" w:styleId="HTMLAddressChar">
    <w:name w:val="HTML Address Char"/>
    <w:basedOn w:val="DefaultParagraphFont"/>
    <w:link w:val="HTMLAddress"/>
    <w:semiHidden/>
    <w:rsid w:val="002F2F4B"/>
    <w:rPr>
      <w:rFonts w:ascii="Mute" w:hAnsi="Mute"/>
      <w:i/>
      <w:iCs/>
      <w:color w:val="003865"/>
      <w:sz w:val="22"/>
    </w:rPr>
  </w:style>
  <w:style w:type="character" w:styleId="HTMLCite">
    <w:name w:val="HTML Cite"/>
    <w:basedOn w:val="DefaultParagraphFont"/>
    <w:semiHidden/>
    <w:rsid w:val="002F2F4B"/>
    <w:rPr>
      <w:i/>
      <w:iCs/>
    </w:rPr>
  </w:style>
  <w:style w:type="character" w:styleId="HTMLCode">
    <w:name w:val="HTML Code"/>
    <w:basedOn w:val="DefaultParagraphFont"/>
    <w:semiHidden/>
    <w:rsid w:val="002F2F4B"/>
    <w:rPr>
      <w:rFonts w:ascii="Consolas" w:hAnsi="Consolas"/>
      <w:sz w:val="20"/>
      <w:szCs w:val="20"/>
    </w:rPr>
  </w:style>
  <w:style w:type="character" w:styleId="HTMLDefinition">
    <w:name w:val="HTML Definition"/>
    <w:basedOn w:val="DefaultParagraphFont"/>
    <w:semiHidden/>
    <w:rsid w:val="002F2F4B"/>
    <w:rPr>
      <w:i/>
      <w:iCs/>
    </w:rPr>
  </w:style>
  <w:style w:type="character" w:styleId="HTMLKeyboard">
    <w:name w:val="HTML Keyboard"/>
    <w:basedOn w:val="DefaultParagraphFont"/>
    <w:semiHidden/>
    <w:rsid w:val="002F2F4B"/>
    <w:rPr>
      <w:rFonts w:ascii="Consolas" w:hAnsi="Consolas"/>
      <w:sz w:val="20"/>
      <w:szCs w:val="20"/>
    </w:rPr>
  </w:style>
  <w:style w:type="paragraph" w:styleId="HTMLPreformatted">
    <w:name w:val="HTML Preformatted"/>
    <w:basedOn w:val="Normal"/>
    <w:link w:val="HTMLPreformattedChar"/>
    <w:semiHidden/>
    <w:rsid w:val="002F2F4B"/>
    <w:pPr>
      <w:spacing w:after="0"/>
    </w:pPr>
    <w:rPr>
      <w:rFonts w:ascii="Consolas" w:hAnsi="Consolas"/>
      <w:sz w:val="20"/>
    </w:rPr>
  </w:style>
  <w:style w:type="character" w:customStyle="1" w:styleId="HTMLPreformattedChar">
    <w:name w:val="HTML Preformatted Char"/>
    <w:basedOn w:val="DefaultParagraphFont"/>
    <w:link w:val="HTMLPreformatted"/>
    <w:semiHidden/>
    <w:rsid w:val="002F2F4B"/>
    <w:rPr>
      <w:rFonts w:ascii="Consolas" w:hAnsi="Consolas"/>
      <w:color w:val="003865"/>
    </w:rPr>
  </w:style>
  <w:style w:type="character" w:styleId="HTMLSample">
    <w:name w:val="HTML Sample"/>
    <w:basedOn w:val="DefaultParagraphFont"/>
    <w:semiHidden/>
    <w:rsid w:val="002F2F4B"/>
    <w:rPr>
      <w:rFonts w:ascii="Consolas" w:hAnsi="Consolas"/>
      <w:sz w:val="24"/>
      <w:szCs w:val="24"/>
    </w:rPr>
  </w:style>
  <w:style w:type="character" w:styleId="HTMLTypewriter">
    <w:name w:val="HTML Typewriter"/>
    <w:basedOn w:val="DefaultParagraphFont"/>
    <w:semiHidden/>
    <w:rsid w:val="002F2F4B"/>
    <w:rPr>
      <w:rFonts w:ascii="Consolas" w:hAnsi="Consolas"/>
      <w:sz w:val="20"/>
      <w:szCs w:val="20"/>
    </w:rPr>
  </w:style>
  <w:style w:type="character" w:styleId="HTMLVariable">
    <w:name w:val="HTML Variable"/>
    <w:basedOn w:val="DefaultParagraphFont"/>
    <w:semiHidden/>
    <w:rsid w:val="002F2F4B"/>
    <w:rPr>
      <w:i/>
      <w:iCs/>
    </w:rPr>
  </w:style>
  <w:style w:type="paragraph" w:styleId="Index1">
    <w:name w:val="index 1"/>
    <w:basedOn w:val="Normal"/>
    <w:next w:val="Normal"/>
    <w:autoRedefine/>
    <w:semiHidden/>
    <w:rsid w:val="002F2F4B"/>
    <w:pPr>
      <w:spacing w:after="0"/>
      <w:ind w:left="220" w:hanging="220"/>
    </w:pPr>
  </w:style>
  <w:style w:type="paragraph" w:styleId="Index2">
    <w:name w:val="index 2"/>
    <w:basedOn w:val="Normal"/>
    <w:next w:val="Normal"/>
    <w:autoRedefine/>
    <w:semiHidden/>
    <w:rsid w:val="002F2F4B"/>
    <w:pPr>
      <w:spacing w:after="0"/>
      <w:ind w:left="440" w:hanging="220"/>
    </w:pPr>
  </w:style>
  <w:style w:type="paragraph" w:styleId="Index3">
    <w:name w:val="index 3"/>
    <w:basedOn w:val="Normal"/>
    <w:next w:val="Normal"/>
    <w:autoRedefine/>
    <w:semiHidden/>
    <w:rsid w:val="002F2F4B"/>
    <w:pPr>
      <w:spacing w:after="0"/>
      <w:ind w:left="660" w:hanging="220"/>
    </w:pPr>
  </w:style>
  <w:style w:type="paragraph" w:styleId="Index4">
    <w:name w:val="index 4"/>
    <w:basedOn w:val="Normal"/>
    <w:next w:val="Normal"/>
    <w:autoRedefine/>
    <w:semiHidden/>
    <w:rsid w:val="002F2F4B"/>
    <w:pPr>
      <w:spacing w:after="0"/>
      <w:ind w:left="880" w:hanging="220"/>
    </w:pPr>
  </w:style>
  <w:style w:type="paragraph" w:styleId="Index5">
    <w:name w:val="index 5"/>
    <w:basedOn w:val="Normal"/>
    <w:next w:val="Normal"/>
    <w:autoRedefine/>
    <w:semiHidden/>
    <w:rsid w:val="002F2F4B"/>
    <w:pPr>
      <w:spacing w:after="0"/>
      <w:ind w:left="1100" w:hanging="220"/>
    </w:pPr>
  </w:style>
  <w:style w:type="paragraph" w:styleId="Index6">
    <w:name w:val="index 6"/>
    <w:basedOn w:val="Normal"/>
    <w:next w:val="Normal"/>
    <w:autoRedefine/>
    <w:semiHidden/>
    <w:rsid w:val="002F2F4B"/>
    <w:pPr>
      <w:spacing w:after="0"/>
      <w:ind w:left="1320" w:hanging="220"/>
    </w:pPr>
  </w:style>
  <w:style w:type="paragraph" w:styleId="Index7">
    <w:name w:val="index 7"/>
    <w:basedOn w:val="Normal"/>
    <w:next w:val="Normal"/>
    <w:autoRedefine/>
    <w:semiHidden/>
    <w:rsid w:val="002F2F4B"/>
    <w:pPr>
      <w:spacing w:after="0"/>
      <w:ind w:left="1540" w:hanging="220"/>
    </w:pPr>
  </w:style>
  <w:style w:type="paragraph" w:styleId="Index8">
    <w:name w:val="index 8"/>
    <w:basedOn w:val="Normal"/>
    <w:next w:val="Normal"/>
    <w:autoRedefine/>
    <w:semiHidden/>
    <w:rsid w:val="002F2F4B"/>
    <w:pPr>
      <w:spacing w:after="0"/>
      <w:ind w:left="1760" w:hanging="220"/>
    </w:pPr>
  </w:style>
  <w:style w:type="paragraph" w:styleId="Index9">
    <w:name w:val="index 9"/>
    <w:basedOn w:val="Normal"/>
    <w:next w:val="Normal"/>
    <w:autoRedefine/>
    <w:semiHidden/>
    <w:rsid w:val="002F2F4B"/>
    <w:pPr>
      <w:spacing w:after="0"/>
      <w:ind w:left="1980" w:hanging="220"/>
    </w:pPr>
  </w:style>
  <w:style w:type="paragraph" w:styleId="IndexHeading">
    <w:name w:val="index heading"/>
    <w:basedOn w:val="Normal"/>
    <w:next w:val="Index1"/>
    <w:semiHidden/>
    <w:rsid w:val="002F2F4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F2F4B"/>
    <w:rPr>
      <w:i/>
      <w:iCs/>
      <w:color w:val="009DE0" w:themeColor="accent1"/>
    </w:rPr>
  </w:style>
  <w:style w:type="paragraph" w:styleId="IntenseQuote">
    <w:name w:val="Intense Quote"/>
    <w:basedOn w:val="Normal"/>
    <w:next w:val="Normal"/>
    <w:link w:val="IntenseQuoteChar"/>
    <w:uiPriority w:val="30"/>
    <w:semiHidden/>
    <w:qFormat/>
    <w:rsid w:val="002F2F4B"/>
    <w:pPr>
      <w:pBdr>
        <w:top w:val="single" w:sz="4" w:space="10" w:color="009DE0" w:themeColor="accent1"/>
        <w:bottom w:val="single" w:sz="4" w:space="10" w:color="009DE0" w:themeColor="accent1"/>
      </w:pBdr>
      <w:spacing w:before="360" w:after="360"/>
      <w:ind w:left="864" w:right="864"/>
      <w:jc w:val="center"/>
    </w:pPr>
    <w:rPr>
      <w:i/>
      <w:iCs/>
      <w:color w:val="009DE0" w:themeColor="accent1"/>
    </w:rPr>
  </w:style>
  <w:style w:type="character" w:customStyle="1" w:styleId="IntenseQuoteChar">
    <w:name w:val="Intense Quote Char"/>
    <w:basedOn w:val="DefaultParagraphFont"/>
    <w:link w:val="IntenseQuote"/>
    <w:uiPriority w:val="30"/>
    <w:semiHidden/>
    <w:rsid w:val="002F2F4B"/>
    <w:rPr>
      <w:rFonts w:ascii="Mute" w:hAnsi="Mute"/>
      <w:i/>
      <w:iCs/>
      <w:color w:val="009DE0" w:themeColor="accent1"/>
      <w:sz w:val="22"/>
    </w:rPr>
  </w:style>
  <w:style w:type="character" w:styleId="IntenseReference">
    <w:name w:val="Intense Reference"/>
    <w:basedOn w:val="DefaultParagraphFont"/>
    <w:uiPriority w:val="32"/>
    <w:semiHidden/>
    <w:qFormat/>
    <w:rsid w:val="002F2F4B"/>
    <w:rPr>
      <w:b/>
      <w:bCs/>
      <w:smallCaps/>
      <w:color w:val="009DE0" w:themeColor="accent1"/>
      <w:spacing w:val="5"/>
    </w:rPr>
  </w:style>
  <w:style w:type="character" w:styleId="SubtleEmphasis">
    <w:name w:val="Subtle Emphasis"/>
    <w:basedOn w:val="DefaultParagraphFont"/>
    <w:uiPriority w:val="19"/>
    <w:semiHidden/>
    <w:qFormat/>
    <w:rsid w:val="002F2F4B"/>
    <w:rPr>
      <w:i/>
      <w:iCs/>
      <w:color w:val="0070CB" w:themeColor="text1" w:themeTint="BF"/>
    </w:rPr>
  </w:style>
  <w:style w:type="character" w:styleId="SubtleReference">
    <w:name w:val="Subtle Reference"/>
    <w:basedOn w:val="DefaultParagraphFont"/>
    <w:uiPriority w:val="31"/>
    <w:semiHidden/>
    <w:qFormat/>
    <w:rsid w:val="002F2F4B"/>
    <w:rPr>
      <w:smallCaps/>
      <w:color w:val="0087F5" w:themeColor="text1" w:themeTint="A5"/>
    </w:rPr>
  </w:style>
  <w:style w:type="paragraph" w:customStyle="1" w:styleId="RTC-Normaltext">
    <w:name w:val="RTC - Normal text"/>
    <w:basedOn w:val="Normal"/>
    <w:link w:val="RTC-NormaltextChar"/>
    <w:qFormat/>
    <w:rsid w:val="00416BD1"/>
    <w:pPr>
      <w:suppressAutoHyphens/>
    </w:pPr>
    <w:rPr>
      <w:rFonts w:ascii="Arial" w:hAnsi="Arial" w:cs="Arial"/>
      <w:color w:val="auto"/>
      <w:szCs w:val="22"/>
      <w:lang w:eastAsia="en-GB"/>
    </w:rPr>
  </w:style>
  <w:style w:type="character" w:customStyle="1" w:styleId="RTC-NormaltextChar">
    <w:name w:val="RTC - Normal text Char"/>
    <w:basedOn w:val="DefaultParagraphFont"/>
    <w:link w:val="RTC-Normaltext"/>
    <w:rsid w:val="00416BD1"/>
    <w:rPr>
      <w:rFonts w:ascii="Arial" w:hAnsi="Arial" w:cs="Arial"/>
      <w:sz w:val="22"/>
      <w:szCs w:val="22"/>
      <w:lang w:val="en-GB" w:eastAsia="en-GB"/>
    </w:rPr>
  </w:style>
  <w:style w:type="character" w:styleId="Hyperlink">
    <w:name w:val="Hyperlink"/>
    <w:uiPriority w:val="99"/>
    <w:rsid w:val="00416BD1"/>
    <w:rPr>
      <w:noProof w:val="0"/>
      <w:color w:val="0000FF"/>
      <w:u w:val="single"/>
      <w:lang w:val="en-GB"/>
    </w:rPr>
  </w:style>
  <w:style w:type="character" w:customStyle="1" w:styleId="sectxt">
    <w:name w:val="sectxt"/>
    <w:basedOn w:val="DefaultParagraphFont"/>
    <w:rsid w:val="00416BD1"/>
  </w:style>
  <w:style w:type="character" w:customStyle="1" w:styleId="ListParagraphChar">
    <w:name w:val="List Paragraph Char"/>
    <w:aliases w:val="RTC - Bulleted List - multiple levels Char,PRI Bullets Char,List Paragraph1 Char,Paragraphe de liste Char"/>
    <w:basedOn w:val="DefaultParagraphFont"/>
    <w:link w:val="ListParagraph"/>
    <w:uiPriority w:val="34"/>
    <w:rsid w:val="00416BD1"/>
    <w:rPr>
      <w:rFonts w:ascii="Mute" w:hAnsi="Mute"/>
      <w:color w:val="003865"/>
      <w:sz w:val="22"/>
    </w:rPr>
  </w:style>
  <w:style w:type="character" w:customStyle="1" w:styleId="defterm3">
    <w:name w:val="defterm3"/>
    <w:basedOn w:val="DefaultParagraphFont"/>
    <w:rsid w:val="00416BD1"/>
  </w:style>
  <w:style w:type="character" w:customStyle="1" w:styleId="before4">
    <w:name w:val="before4"/>
    <w:basedOn w:val="DefaultParagraphFont"/>
    <w:rsid w:val="00416BD1"/>
  </w:style>
  <w:style w:type="character" w:customStyle="1" w:styleId="after2">
    <w:name w:val="after2"/>
    <w:basedOn w:val="DefaultParagraphFont"/>
    <w:rsid w:val="00416BD1"/>
  </w:style>
  <w:style w:type="paragraph" w:customStyle="1" w:styleId="ptxt">
    <w:name w:val="ptxt"/>
    <w:basedOn w:val="Normal"/>
    <w:rsid w:val="00416BD1"/>
    <w:pPr>
      <w:spacing w:after="79"/>
    </w:pPr>
    <w:rPr>
      <w:rFonts w:ascii="Times New Roman" w:hAnsi="Times New Roman"/>
      <w:color w:val="auto"/>
      <w:sz w:val="24"/>
      <w:szCs w:val="24"/>
      <w:lang w:eastAsia="en-GB"/>
    </w:rPr>
  </w:style>
  <w:style w:type="character" w:customStyle="1" w:styleId="defterm4">
    <w:name w:val="defterm4"/>
    <w:basedOn w:val="DefaultParagraphFont"/>
    <w:rsid w:val="00416BD1"/>
  </w:style>
  <w:style w:type="character" w:styleId="Emphasis">
    <w:name w:val="Emphasis"/>
    <w:basedOn w:val="DefaultParagraphFont"/>
    <w:qFormat/>
    <w:rsid w:val="0073387E"/>
    <w:rPr>
      <w:i/>
      <w:iCs/>
    </w:rPr>
  </w:style>
  <w:style w:type="table" w:styleId="TableGrid">
    <w:name w:val="Table Grid"/>
    <w:basedOn w:val="TableNormal"/>
    <w:uiPriority w:val="39"/>
    <w:rsid w:val="000B180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13">
    <w:name w:val="lbl13"/>
    <w:basedOn w:val="DefaultParagraphFont"/>
    <w:rsid w:val="000B1803"/>
  </w:style>
  <w:style w:type="paragraph" w:customStyle="1" w:styleId="OutlineNum">
    <w:name w:val="Outline Num"/>
    <w:basedOn w:val="Normal"/>
    <w:next w:val="OutlineNum2"/>
    <w:rsid w:val="000B1803"/>
    <w:pPr>
      <w:numPr>
        <w:numId w:val="6"/>
      </w:numPr>
      <w:suppressLineNumbers/>
      <w:suppressAutoHyphens/>
      <w:outlineLvl w:val="0"/>
    </w:pPr>
    <w:rPr>
      <w:rFonts w:ascii="Times New Roman" w:hAnsi="Times New Roman"/>
      <w:b/>
      <w:color w:val="auto"/>
      <w:sz w:val="24"/>
      <w:lang w:eastAsia="en-GB"/>
    </w:rPr>
  </w:style>
  <w:style w:type="paragraph" w:customStyle="1" w:styleId="OutlineNum2">
    <w:name w:val="Outline Num 2"/>
    <w:basedOn w:val="Normal"/>
    <w:link w:val="OutlineNum2Char"/>
    <w:rsid w:val="000B1803"/>
    <w:pPr>
      <w:numPr>
        <w:ilvl w:val="1"/>
        <w:numId w:val="6"/>
      </w:numPr>
      <w:suppressLineNumbers/>
      <w:suppressAutoHyphens/>
      <w:outlineLvl w:val="1"/>
    </w:pPr>
    <w:rPr>
      <w:rFonts w:ascii="Times New Roman" w:hAnsi="Times New Roman"/>
      <w:color w:val="auto"/>
      <w:sz w:val="24"/>
      <w:lang w:eastAsia="en-GB"/>
    </w:rPr>
  </w:style>
  <w:style w:type="paragraph" w:customStyle="1" w:styleId="OutlineNum3">
    <w:name w:val="Outline Num 3"/>
    <w:basedOn w:val="Normal"/>
    <w:rsid w:val="000B1803"/>
    <w:pPr>
      <w:numPr>
        <w:ilvl w:val="2"/>
        <w:numId w:val="6"/>
      </w:numPr>
      <w:suppressLineNumbers/>
      <w:suppressAutoHyphens/>
      <w:outlineLvl w:val="2"/>
    </w:pPr>
    <w:rPr>
      <w:rFonts w:ascii="Times New Roman" w:hAnsi="Times New Roman"/>
      <w:color w:val="auto"/>
      <w:sz w:val="24"/>
      <w:lang w:eastAsia="en-GB"/>
    </w:rPr>
  </w:style>
  <w:style w:type="character" w:customStyle="1" w:styleId="OutlineNum2Char">
    <w:name w:val="Outline Num 2 Char"/>
    <w:link w:val="OutlineNum2"/>
    <w:rsid w:val="000B1803"/>
    <w:rPr>
      <w:sz w:val="24"/>
      <w:lang w:val="en-GB" w:eastAsia="en-GB"/>
    </w:rPr>
  </w:style>
  <w:style w:type="character" w:styleId="FollowedHyperlink">
    <w:name w:val="FollowedHyperlink"/>
    <w:basedOn w:val="DefaultParagraphFont"/>
    <w:semiHidden/>
    <w:unhideWhenUsed/>
    <w:rsid w:val="00A548E3"/>
    <w:rPr>
      <w:color w:val="009DE0" w:themeColor="followedHyperlink"/>
      <w:u w:val="single"/>
    </w:rPr>
  </w:style>
  <w:style w:type="paragraph" w:styleId="Revision">
    <w:name w:val="Revision"/>
    <w:hidden/>
    <w:uiPriority w:val="99"/>
    <w:semiHidden/>
    <w:rsid w:val="00A548E3"/>
    <w:rPr>
      <w:rFonts w:ascii="Mute" w:hAnsi="Mute"/>
      <w:color w:val="003865"/>
      <w:sz w:val="22"/>
    </w:rPr>
  </w:style>
  <w:style w:type="paragraph" w:styleId="NormalIndent">
    <w:name w:val="Normal Indent"/>
    <w:basedOn w:val="Normal"/>
    <w:unhideWhenUsed/>
    <w:rsid w:val="00801535"/>
    <w:pPr>
      <w:numPr>
        <w:numId w:val="8"/>
      </w:numPr>
      <w:suppressLineNumbers/>
      <w:suppressAutoHyphens/>
      <w:outlineLvl w:val="0"/>
    </w:pPr>
    <w:rPr>
      <w:rFonts w:ascii="Times New Roman" w:hAnsi="Times New Roman"/>
      <w:color w:val="auto"/>
      <w:sz w:val="24"/>
      <w:lang w:eastAsia="en-GB"/>
    </w:rPr>
  </w:style>
  <w:style w:type="paragraph" w:styleId="Title">
    <w:name w:val="Title"/>
    <w:basedOn w:val="Normal"/>
    <w:next w:val="Subtitle"/>
    <w:link w:val="TitleChar"/>
    <w:uiPriority w:val="10"/>
    <w:rsid w:val="00C96904"/>
    <w:pPr>
      <w:keepNext/>
      <w:keepLines/>
      <w:spacing w:after="0"/>
    </w:pPr>
    <w:rPr>
      <w:rFonts w:asciiTheme="majorHAnsi" w:eastAsiaTheme="majorEastAsia" w:hAnsiTheme="majorHAnsi" w:cstheme="majorBidi"/>
      <w:caps/>
      <w:color w:val="003865" w:themeColor="text1"/>
      <w:sz w:val="54"/>
      <w:szCs w:val="52"/>
    </w:rPr>
  </w:style>
  <w:style w:type="character" w:customStyle="1" w:styleId="TitleChar">
    <w:name w:val="Title Char"/>
    <w:basedOn w:val="DefaultParagraphFont"/>
    <w:link w:val="Title"/>
    <w:uiPriority w:val="10"/>
    <w:rsid w:val="00C96904"/>
    <w:rPr>
      <w:rFonts w:asciiTheme="majorHAnsi" w:eastAsiaTheme="majorEastAsia" w:hAnsiTheme="majorHAnsi" w:cstheme="majorBidi"/>
      <w:caps/>
      <w:color w:val="003865" w:themeColor="text1"/>
      <w:sz w:val="54"/>
      <w:szCs w:val="52"/>
      <w:lang w:val="en-GB"/>
    </w:rPr>
  </w:style>
  <w:style w:type="paragraph" w:styleId="Subtitle">
    <w:name w:val="Subtitle"/>
    <w:basedOn w:val="Normal"/>
    <w:next w:val="Normal"/>
    <w:link w:val="SubtitleChar"/>
    <w:qFormat/>
    <w:rsid w:val="00C96904"/>
    <w:pPr>
      <w:numPr>
        <w:ilvl w:val="1"/>
      </w:numPr>
      <w:spacing w:after="160"/>
    </w:pPr>
    <w:rPr>
      <w:rFonts w:asciiTheme="minorHAnsi" w:eastAsiaTheme="minorEastAsia" w:hAnsiTheme="minorHAnsi" w:cstheme="minorBidi"/>
      <w:color w:val="0087F5" w:themeColor="text1" w:themeTint="A5"/>
      <w:spacing w:val="15"/>
      <w:szCs w:val="22"/>
    </w:rPr>
  </w:style>
  <w:style w:type="character" w:customStyle="1" w:styleId="SubtitleChar">
    <w:name w:val="Subtitle Char"/>
    <w:basedOn w:val="DefaultParagraphFont"/>
    <w:link w:val="Subtitle"/>
    <w:rsid w:val="00C96904"/>
    <w:rPr>
      <w:rFonts w:asciiTheme="minorHAnsi" w:eastAsiaTheme="minorEastAsia" w:hAnsiTheme="minorHAnsi" w:cstheme="minorBidi"/>
      <w:color w:val="0087F5" w:themeColor="text1" w:themeTint="A5"/>
      <w:spacing w:val="15"/>
      <w:sz w:val="22"/>
      <w:szCs w:val="22"/>
    </w:rPr>
  </w:style>
  <w:style w:type="table" w:styleId="PlainTable2">
    <w:name w:val="Plain Table 2"/>
    <w:basedOn w:val="TableNormal"/>
    <w:uiPriority w:val="42"/>
    <w:rsid w:val="003D78D1"/>
    <w:tblPr>
      <w:tblStyleRowBandSize w:val="1"/>
      <w:tblStyleColBandSize w:val="1"/>
      <w:tblBorders>
        <w:top w:val="single" w:sz="4" w:space="0" w:color="31A3FF" w:themeColor="text1" w:themeTint="80"/>
        <w:bottom w:val="single" w:sz="4" w:space="0" w:color="31A3FF" w:themeColor="text1" w:themeTint="80"/>
      </w:tblBorders>
    </w:tblPr>
    <w:tblStylePr w:type="firstRow">
      <w:rPr>
        <w:b/>
        <w:bCs/>
      </w:rPr>
      <w:tblPr/>
      <w:tcPr>
        <w:tcBorders>
          <w:bottom w:val="single" w:sz="4" w:space="0" w:color="31A3FF" w:themeColor="text1" w:themeTint="80"/>
        </w:tcBorders>
      </w:tcPr>
    </w:tblStylePr>
    <w:tblStylePr w:type="lastRow">
      <w:rPr>
        <w:b/>
        <w:bCs/>
      </w:rPr>
      <w:tblPr/>
      <w:tcPr>
        <w:tcBorders>
          <w:top w:val="single" w:sz="4" w:space="0" w:color="31A3FF" w:themeColor="text1" w:themeTint="80"/>
        </w:tcBorders>
      </w:tcPr>
    </w:tblStylePr>
    <w:tblStylePr w:type="firstCol">
      <w:rPr>
        <w:b/>
        <w:bCs/>
      </w:rPr>
    </w:tblStylePr>
    <w:tblStylePr w:type="lastCol">
      <w:rPr>
        <w:b/>
        <w:bCs/>
      </w:rPr>
    </w:tblStylePr>
    <w:tblStylePr w:type="band1Vert">
      <w:tblPr/>
      <w:tcPr>
        <w:tcBorders>
          <w:left w:val="single" w:sz="4" w:space="0" w:color="31A3FF" w:themeColor="text1" w:themeTint="80"/>
          <w:right w:val="single" w:sz="4" w:space="0" w:color="31A3FF" w:themeColor="text1" w:themeTint="80"/>
        </w:tcBorders>
      </w:tcPr>
    </w:tblStylePr>
    <w:tblStylePr w:type="band2Vert">
      <w:tblPr/>
      <w:tcPr>
        <w:tcBorders>
          <w:left w:val="single" w:sz="4" w:space="0" w:color="31A3FF" w:themeColor="text1" w:themeTint="80"/>
          <w:right w:val="single" w:sz="4" w:space="0" w:color="31A3FF" w:themeColor="text1" w:themeTint="80"/>
        </w:tcBorders>
      </w:tcPr>
    </w:tblStylePr>
    <w:tblStylePr w:type="band1Horz">
      <w:tblPr/>
      <w:tcPr>
        <w:tcBorders>
          <w:top w:val="single" w:sz="4" w:space="0" w:color="31A3FF" w:themeColor="text1" w:themeTint="80"/>
          <w:bottom w:val="single" w:sz="4" w:space="0" w:color="31A3FF" w:themeColor="text1" w:themeTint="80"/>
        </w:tcBorders>
      </w:tcPr>
    </w:tblStylePr>
  </w:style>
  <w:style w:type="character" w:styleId="UnresolvedMention">
    <w:name w:val="Unresolved Mention"/>
    <w:basedOn w:val="DefaultParagraphFont"/>
    <w:uiPriority w:val="99"/>
    <w:semiHidden/>
    <w:unhideWhenUsed/>
    <w:rsid w:val="005A2190"/>
    <w:rPr>
      <w:color w:val="605E5C"/>
      <w:shd w:val="clear" w:color="auto" w:fill="E1DFDD"/>
    </w:rPr>
  </w:style>
  <w:style w:type="paragraph" w:customStyle="1" w:styleId="Default">
    <w:name w:val="Default"/>
    <w:rsid w:val="00044BF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41459">
      <w:bodyDiv w:val="1"/>
      <w:marLeft w:val="0"/>
      <w:marRight w:val="0"/>
      <w:marTop w:val="0"/>
      <w:marBottom w:val="0"/>
      <w:divBdr>
        <w:top w:val="none" w:sz="0" w:space="0" w:color="auto"/>
        <w:left w:val="none" w:sz="0" w:space="0" w:color="auto"/>
        <w:bottom w:val="none" w:sz="0" w:space="0" w:color="auto"/>
        <w:right w:val="none" w:sz="0" w:space="0" w:color="auto"/>
      </w:divBdr>
    </w:div>
    <w:div w:id="388967163">
      <w:bodyDiv w:val="1"/>
      <w:marLeft w:val="0"/>
      <w:marRight w:val="0"/>
      <w:marTop w:val="0"/>
      <w:marBottom w:val="0"/>
      <w:divBdr>
        <w:top w:val="none" w:sz="0" w:space="0" w:color="auto"/>
        <w:left w:val="none" w:sz="0" w:space="0" w:color="auto"/>
        <w:bottom w:val="none" w:sz="0" w:space="0" w:color="auto"/>
        <w:right w:val="none" w:sz="0" w:space="0" w:color="auto"/>
      </w:divBdr>
      <w:divsChild>
        <w:div w:id="1559516160">
          <w:marLeft w:val="274"/>
          <w:marRight w:val="0"/>
          <w:marTop w:val="0"/>
          <w:marBottom w:val="0"/>
          <w:divBdr>
            <w:top w:val="none" w:sz="0" w:space="0" w:color="auto"/>
            <w:left w:val="none" w:sz="0" w:space="0" w:color="auto"/>
            <w:bottom w:val="none" w:sz="0" w:space="0" w:color="auto"/>
            <w:right w:val="none" w:sz="0" w:space="0" w:color="auto"/>
          </w:divBdr>
        </w:div>
        <w:div w:id="179973554">
          <w:marLeft w:val="274"/>
          <w:marRight w:val="0"/>
          <w:marTop w:val="0"/>
          <w:marBottom w:val="0"/>
          <w:divBdr>
            <w:top w:val="none" w:sz="0" w:space="0" w:color="auto"/>
            <w:left w:val="none" w:sz="0" w:space="0" w:color="auto"/>
            <w:bottom w:val="none" w:sz="0" w:space="0" w:color="auto"/>
            <w:right w:val="none" w:sz="0" w:space="0" w:color="auto"/>
          </w:divBdr>
        </w:div>
      </w:divsChild>
    </w:div>
    <w:div w:id="536816775">
      <w:bodyDiv w:val="1"/>
      <w:marLeft w:val="0"/>
      <w:marRight w:val="0"/>
      <w:marTop w:val="0"/>
      <w:marBottom w:val="0"/>
      <w:divBdr>
        <w:top w:val="none" w:sz="0" w:space="0" w:color="auto"/>
        <w:left w:val="none" w:sz="0" w:space="0" w:color="auto"/>
        <w:bottom w:val="none" w:sz="0" w:space="0" w:color="auto"/>
        <w:right w:val="none" w:sz="0" w:space="0" w:color="auto"/>
      </w:divBdr>
      <w:divsChild>
        <w:div w:id="356658504">
          <w:marLeft w:val="360"/>
          <w:marRight w:val="0"/>
          <w:marTop w:val="240"/>
          <w:marBottom w:val="0"/>
          <w:divBdr>
            <w:top w:val="none" w:sz="0" w:space="0" w:color="auto"/>
            <w:left w:val="none" w:sz="0" w:space="0" w:color="auto"/>
            <w:bottom w:val="none" w:sz="0" w:space="0" w:color="auto"/>
            <w:right w:val="none" w:sz="0" w:space="0" w:color="auto"/>
          </w:divBdr>
        </w:div>
        <w:div w:id="2013529158">
          <w:marLeft w:val="720"/>
          <w:marRight w:val="0"/>
          <w:marTop w:val="240"/>
          <w:marBottom w:val="0"/>
          <w:divBdr>
            <w:top w:val="none" w:sz="0" w:space="0" w:color="auto"/>
            <w:left w:val="none" w:sz="0" w:space="0" w:color="auto"/>
            <w:bottom w:val="none" w:sz="0" w:space="0" w:color="auto"/>
            <w:right w:val="none" w:sz="0" w:space="0" w:color="auto"/>
          </w:divBdr>
        </w:div>
        <w:div w:id="1510487258">
          <w:marLeft w:val="720"/>
          <w:marRight w:val="0"/>
          <w:marTop w:val="240"/>
          <w:marBottom w:val="0"/>
          <w:divBdr>
            <w:top w:val="none" w:sz="0" w:space="0" w:color="auto"/>
            <w:left w:val="none" w:sz="0" w:space="0" w:color="auto"/>
            <w:bottom w:val="none" w:sz="0" w:space="0" w:color="auto"/>
            <w:right w:val="none" w:sz="0" w:space="0" w:color="auto"/>
          </w:divBdr>
        </w:div>
      </w:divsChild>
    </w:div>
    <w:div w:id="781412542">
      <w:bodyDiv w:val="1"/>
      <w:marLeft w:val="0"/>
      <w:marRight w:val="0"/>
      <w:marTop w:val="0"/>
      <w:marBottom w:val="0"/>
      <w:divBdr>
        <w:top w:val="none" w:sz="0" w:space="0" w:color="auto"/>
        <w:left w:val="none" w:sz="0" w:space="0" w:color="auto"/>
        <w:bottom w:val="none" w:sz="0" w:space="0" w:color="auto"/>
        <w:right w:val="none" w:sz="0" w:space="0" w:color="auto"/>
      </w:divBdr>
    </w:div>
    <w:div w:id="809594683">
      <w:bodyDiv w:val="1"/>
      <w:marLeft w:val="0"/>
      <w:marRight w:val="0"/>
      <w:marTop w:val="0"/>
      <w:marBottom w:val="0"/>
      <w:divBdr>
        <w:top w:val="none" w:sz="0" w:space="0" w:color="auto"/>
        <w:left w:val="none" w:sz="0" w:space="0" w:color="auto"/>
        <w:bottom w:val="none" w:sz="0" w:space="0" w:color="auto"/>
        <w:right w:val="none" w:sz="0" w:space="0" w:color="auto"/>
      </w:divBdr>
      <w:divsChild>
        <w:div w:id="1920139998">
          <w:marLeft w:val="274"/>
          <w:marRight w:val="0"/>
          <w:marTop w:val="0"/>
          <w:marBottom w:val="0"/>
          <w:divBdr>
            <w:top w:val="none" w:sz="0" w:space="0" w:color="auto"/>
            <w:left w:val="none" w:sz="0" w:space="0" w:color="auto"/>
            <w:bottom w:val="none" w:sz="0" w:space="0" w:color="auto"/>
            <w:right w:val="none" w:sz="0" w:space="0" w:color="auto"/>
          </w:divBdr>
        </w:div>
        <w:div w:id="50810846">
          <w:marLeft w:val="274"/>
          <w:marRight w:val="0"/>
          <w:marTop w:val="0"/>
          <w:marBottom w:val="0"/>
          <w:divBdr>
            <w:top w:val="none" w:sz="0" w:space="0" w:color="auto"/>
            <w:left w:val="none" w:sz="0" w:space="0" w:color="auto"/>
            <w:bottom w:val="none" w:sz="0" w:space="0" w:color="auto"/>
            <w:right w:val="none" w:sz="0" w:space="0" w:color="auto"/>
          </w:divBdr>
        </w:div>
        <w:div w:id="1186676106">
          <w:marLeft w:val="274"/>
          <w:marRight w:val="0"/>
          <w:marTop w:val="0"/>
          <w:marBottom w:val="0"/>
          <w:divBdr>
            <w:top w:val="none" w:sz="0" w:space="0" w:color="auto"/>
            <w:left w:val="none" w:sz="0" w:space="0" w:color="auto"/>
            <w:bottom w:val="none" w:sz="0" w:space="0" w:color="auto"/>
            <w:right w:val="none" w:sz="0" w:space="0" w:color="auto"/>
          </w:divBdr>
        </w:div>
        <w:div w:id="1349719056">
          <w:marLeft w:val="274"/>
          <w:marRight w:val="0"/>
          <w:marTop w:val="0"/>
          <w:marBottom w:val="0"/>
          <w:divBdr>
            <w:top w:val="none" w:sz="0" w:space="0" w:color="auto"/>
            <w:left w:val="none" w:sz="0" w:space="0" w:color="auto"/>
            <w:bottom w:val="none" w:sz="0" w:space="0" w:color="auto"/>
            <w:right w:val="none" w:sz="0" w:space="0" w:color="auto"/>
          </w:divBdr>
        </w:div>
        <w:div w:id="354771019">
          <w:marLeft w:val="274"/>
          <w:marRight w:val="0"/>
          <w:marTop w:val="0"/>
          <w:marBottom w:val="0"/>
          <w:divBdr>
            <w:top w:val="none" w:sz="0" w:space="0" w:color="auto"/>
            <w:left w:val="none" w:sz="0" w:space="0" w:color="auto"/>
            <w:bottom w:val="none" w:sz="0" w:space="0" w:color="auto"/>
            <w:right w:val="none" w:sz="0" w:space="0" w:color="auto"/>
          </w:divBdr>
        </w:div>
      </w:divsChild>
    </w:div>
    <w:div w:id="847478783">
      <w:bodyDiv w:val="1"/>
      <w:marLeft w:val="0"/>
      <w:marRight w:val="0"/>
      <w:marTop w:val="0"/>
      <w:marBottom w:val="0"/>
      <w:divBdr>
        <w:top w:val="none" w:sz="0" w:space="0" w:color="auto"/>
        <w:left w:val="none" w:sz="0" w:space="0" w:color="auto"/>
        <w:bottom w:val="none" w:sz="0" w:space="0" w:color="auto"/>
        <w:right w:val="none" w:sz="0" w:space="0" w:color="auto"/>
      </w:divBdr>
      <w:divsChild>
        <w:div w:id="410275833">
          <w:marLeft w:val="274"/>
          <w:marRight w:val="0"/>
          <w:marTop w:val="0"/>
          <w:marBottom w:val="0"/>
          <w:divBdr>
            <w:top w:val="none" w:sz="0" w:space="0" w:color="auto"/>
            <w:left w:val="none" w:sz="0" w:space="0" w:color="auto"/>
            <w:bottom w:val="none" w:sz="0" w:space="0" w:color="auto"/>
            <w:right w:val="none" w:sz="0" w:space="0" w:color="auto"/>
          </w:divBdr>
        </w:div>
        <w:div w:id="1352217862">
          <w:marLeft w:val="274"/>
          <w:marRight w:val="0"/>
          <w:marTop w:val="0"/>
          <w:marBottom w:val="0"/>
          <w:divBdr>
            <w:top w:val="none" w:sz="0" w:space="0" w:color="auto"/>
            <w:left w:val="none" w:sz="0" w:space="0" w:color="auto"/>
            <w:bottom w:val="none" w:sz="0" w:space="0" w:color="auto"/>
            <w:right w:val="none" w:sz="0" w:space="0" w:color="auto"/>
          </w:divBdr>
        </w:div>
      </w:divsChild>
    </w:div>
    <w:div w:id="1112213174">
      <w:bodyDiv w:val="1"/>
      <w:marLeft w:val="0"/>
      <w:marRight w:val="0"/>
      <w:marTop w:val="0"/>
      <w:marBottom w:val="0"/>
      <w:divBdr>
        <w:top w:val="none" w:sz="0" w:space="0" w:color="auto"/>
        <w:left w:val="none" w:sz="0" w:space="0" w:color="auto"/>
        <w:bottom w:val="none" w:sz="0" w:space="0" w:color="auto"/>
        <w:right w:val="none" w:sz="0" w:space="0" w:color="auto"/>
      </w:divBdr>
    </w:div>
    <w:div w:id="1115254842">
      <w:bodyDiv w:val="1"/>
      <w:marLeft w:val="0"/>
      <w:marRight w:val="0"/>
      <w:marTop w:val="0"/>
      <w:marBottom w:val="0"/>
      <w:divBdr>
        <w:top w:val="none" w:sz="0" w:space="0" w:color="auto"/>
        <w:left w:val="none" w:sz="0" w:space="0" w:color="auto"/>
        <w:bottom w:val="none" w:sz="0" w:space="0" w:color="auto"/>
        <w:right w:val="none" w:sz="0" w:space="0" w:color="auto"/>
      </w:divBdr>
    </w:div>
    <w:div w:id="1176384638">
      <w:bodyDiv w:val="1"/>
      <w:marLeft w:val="0"/>
      <w:marRight w:val="0"/>
      <w:marTop w:val="0"/>
      <w:marBottom w:val="0"/>
      <w:divBdr>
        <w:top w:val="none" w:sz="0" w:space="0" w:color="auto"/>
        <w:left w:val="none" w:sz="0" w:space="0" w:color="auto"/>
        <w:bottom w:val="none" w:sz="0" w:space="0" w:color="auto"/>
        <w:right w:val="none" w:sz="0" w:space="0" w:color="auto"/>
      </w:divBdr>
    </w:div>
    <w:div w:id="1245990211">
      <w:bodyDiv w:val="1"/>
      <w:marLeft w:val="0"/>
      <w:marRight w:val="0"/>
      <w:marTop w:val="0"/>
      <w:marBottom w:val="0"/>
      <w:divBdr>
        <w:top w:val="none" w:sz="0" w:space="0" w:color="auto"/>
        <w:left w:val="none" w:sz="0" w:space="0" w:color="auto"/>
        <w:bottom w:val="none" w:sz="0" w:space="0" w:color="auto"/>
        <w:right w:val="none" w:sz="0" w:space="0" w:color="auto"/>
      </w:divBdr>
    </w:div>
    <w:div w:id="1292057747">
      <w:bodyDiv w:val="1"/>
      <w:marLeft w:val="0"/>
      <w:marRight w:val="0"/>
      <w:marTop w:val="0"/>
      <w:marBottom w:val="0"/>
      <w:divBdr>
        <w:top w:val="none" w:sz="0" w:space="0" w:color="auto"/>
        <w:left w:val="none" w:sz="0" w:space="0" w:color="auto"/>
        <w:bottom w:val="none" w:sz="0" w:space="0" w:color="auto"/>
        <w:right w:val="none" w:sz="0" w:space="0" w:color="auto"/>
      </w:divBdr>
    </w:div>
    <w:div w:id="1310282434">
      <w:bodyDiv w:val="1"/>
      <w:marLeft w:val="0"/>
      <w:marRight w:val="0"/>
      <w:marTop w:val="0"/>
      <w:marBottom w:val="0"/>
      <w:divBdr>
        <w:top w:val="none" w:sz="0" w:space="0" w:color="auto"/>
        <w:left w:val="none" w:sz="0" w:space="0" w:color="auto"/>
        <w:bottom w:val="none" w:sz="0" w:space="0" w:color="auto"/>
        <w:right w:val="none" w:sz="0" w:space="0" w:color="auto"/>
      </w:divBdr>
    </w:div>
    <w:div w:id="1335917984">
      <w:bodyDiv w:val="1"/>
      <w:marLeft w:val="0"/>
      <w:marRight w:val="0"/>
      <w:marTop w:val="0"/>
      <w:marBottom w:val="0"/>
      <w:divBdr>
        <w:top w:val="none" w:sz="0" w:space="0" w:color="auto"/>
        <w:left w:val="none" w:sz="0" w:space="0" w:color="auto"/>
        <w:bottom w:val="none" w:sz="0" w:space="0" w:color="auto"/>
        <w:right w:val="none" w:sz="0" w:space="0" w:color="auto"/>
      </w:divBdr>
      <w:divsChild>
        <w:div w:id="1408258840">
          <w:marLeft w:val="274"/>
          <w:marRight w:val="0"/>
          <w:marTop w:val="0"/>
          <w:marBottom w:val="0"/>
          <w:divBdr>
            <w:top w:val="none" w:sz="0" w:space="0" w:color="auto"/>
            <w:left w:val="none" w:sz="0" w:space="0" w:color="auto"/>
            <w:bottom w:val="none" w:sz="0" w:space="0" w:color="auto"/>
            <w:right w:val="none" w:sz="0" w:space="0" w:color="auto"/>
          </w:divBdr>
        </w:div>
        <w:div w:id="1392734148">
          <w:marLeft w:val="274"/>
          <w:marRight w:val="0"/>
          <w:marTop w:val="0"/>
          <w:marBottom w:val="0"/>
          <w:divBdr>
            <w:top w:val="none" w:sz="0" w:space="0" w:color="auto"/>
            <w:left w:val="none" w:sz="0" w:space="0" w:color="auto"/>
            <w:bottom w:val="none" w:sz="0" w:space="0" w:color="auto"/>
            <w:right w:val="none" w:sz="0" w:space="0" w:color="auto"/>
          </w:divBdr>
        </w:div>
      </w:divsChild>
    </w:div>
    <w:div w:id="1472868938">
      <w:bodyDiv w:val="1"/>
      <w:marLeft w:val="0"/>
      <w:marRight w:val="0"/>
      <w:marTop w:val="0"/>
      <w:marBottom w:val="0"/>
      <w:divBdr>
        <w:top w:val="none" w:sz="0" w:space="0" w:color="auto"/>
        <w:left w:val="none" w:sz="0" w:space="0" w:color="auto"/>
        <w:bottom w:val="none" w:sz="0" w:space="0" w:color="auto"/>
        <w:right w:val="none" w:sz="0" w:space="0" w:color="auto"/>
      </w:divBdr>
    </w:div>
    <w:div w:id="1477985890">
      <w:bodyDiv w:val="1"/>
      <w:marLeft w:val="0"/>
      <w:marRight w:val="0"/>
      <w:marTop w:val="0"/>
      <w:marBottom w:val="0"/>
      <w:divBdr>
        <w:top w:val="none" w:sz="0" w:space="0" w:color="auto"/>
        <w:left w:val="none" w:sz="0" w:space="0" w:color="auto"/>
        <w:bottom w:val="none" w:sz="0" w:space="0" w:color="auto"/>
        <w:right w:val="none" w:sz="0" w:space="0" w:color="auto"/>
      </w:divBdr>
      <w:divsChild>
        <w:div w:id="633946860">
          <w:marLeft w:val="360"/>
          <w:marRight w:val="0"/>
          <w:marTop w:val="240"/>
          <w:marBottom w:val="0"/>
          <w:divBdr>
            <w:top w:val="none" w:sz="0" w:space="0" w:color="auto"/>
            <w:left w:val="none" w:sz="0" w:space="0" w:color="auto"/>
            <w:bottom w:val="none" w:sz="0" w:space="0" w:color="auto"/>
            <w:right w:val="none" w:sz="0" w:space="0" w:color="auto"/>
          </w:divBdr>
        </w:div>
        <w:div w:id="1641300904">
          <w:marLeft w:val="720"/>
          <w:marRight w:val="0"/>
          <w:marTop w:val="240"/>
          <w:marBottom w:val="0"/>
          <w:divBdr>
            <w:top w:val="none" w:sz="0" w:space="0" w:color="auto"/>
            <w:left w:val="none" w:sz="0" w:space="0" w:color="auto"/>
            <w:bottom w:val="none" w:sz="0" w:space="0" w:color="auto"/>
            <w:right w:val="none" w:sz="0" w:space="0" w:color="auto"/>
          </w:divBdr>
        </w:div>
        <w:div w:id="683286165">
          <w:marLeft w:val="720"/>
          <w:marRight w:val="0"/>
          <w:marTop w:val="240"/>
          <w:marBottom w:val="0"/>
          <w:divBdr>
            <w:top w:val="none" w:sz="0" w:space="0" w:color="auto"/>
            <w:left w:val="none" w:sz="0" w:space="0" w:color="auto"/>
            <w:bottom w:val="none" w:sz="0" w:space="0" w:color="auto"/>
            <w:right w:val="none" w:sz="0" w:space="0" w:color="auto"/>
          </w:divBdr>
        </w:div>
        <w:div w:id="19012394">
          <w:marLeft w:val="720"/>
          <w:marRight w:val="0"/>
          <w:marTop w:val="240"/>
          <w:marBottom w:val="0"/>
          <w:divBdr>
            <w:top w:val="none" w:sz="0" w:space="0" w:color="auto"/>
            <w:left w:val="none" w:sz="0" w:space="0" w:color="auto"/>
            <w:bottom w:val="none" w:sz="0" w:space="0" w:color="auto"/>
            <w:right w:val="none" w:sz="0" w:space="0" w:color="auto"/>
          </w:divBdr>
        </w:div>
        <w:div w:id="50008588">
          <w:marLeft w:val="720"/>
          <w:marRight w:val="0"/>
          <w:marTop w:val="240"/>
          <w:marBottom w:val="0"/>
          <w:divBdr>
            <w:top w:val="none" w:sz="0" w:space="0" w:color="auto"/>
            <w:left w:val="none" w:sz="0" w:space="0" w:color="auto"/>
            <w:bottom w:val="none" w:sz="0" w:space="0" w:color="auto"/>
            <w:right w:val="none" w:sz="0" w:space="0" w:color="auto"/>
          </w:divBdr>
        </w:div>
        <w:div w:id="633175588">
          <w:marLeft w:val="720"/>
          <w:marRight w:val="0"/>
          <w:marTop w:val="240"/>
          <w:marBottom w:val="0"/>
          <w:divBdr>
            <w:top w:val="none" w:sz="0" w:space="0" w:color="auto"/>
            <w:left w:val="none" w:sz="0" w:space="0" w:color="auto"/>
            <w:bottom w:val="none" w:sz="0" w:space="0" w:color="auto"/>
            <w:right w:val="none" w:sz="0" w:space="0" w:color="auto"/>
          </w:divBdr>
        </w:div>
        <w:div w:id="1248419585">
          <w:marLeft w:val="360"/>
          <w:marRight w:val="0"/>
          <w:marTop w:val="240"/>
          <w:marBottom w:val="0"/>
          <w:divBdr>
            <w:top w:val="none" w:sz="0" w:space="0" w:color="auto"/>
            <w:left w:val="none" w:sz="0" w:space="0" w:color="auto"/>
            <w:bottom w:val="none" w:sz="0" w:space="0" w:color="auto"/>
            <w:right w:val="none" w:sz="0" w:space="0" w:color="auto"/>
          </w:divBdr>
        </w:div>
      </w:divsChild>
    </w:div>
    <w:div w:id="1531063294">
      <w:bodyDiv w:val="1"/>
      <w:marLeft w:val="0"/>
      <w:marRight w:val="0"/>
      <w:marTop w:val="0"/>
      <w:marBottom w:val="0"/>
      <w:divBdr>
        <w:top w:val="none" w:sz="0" w:space="0" w:color="auto"/>
        <w:left w:val="none" w:sz="0" w:space="0" w:color="auto"/>
        <w:bottom w:val="none" w:sz="0" w:space="0" w:color="auto"/>
        <w:right w:val="none" w:sz="0" w:space="0" w:color="auto"/>
      </w:divBdr>
    </w:div>
    <w:div w:id="1621302036">
      <w:bodyDiv w:val="1"/>
      <w:marLeft w:val="0"/>
      <w:marRight w:val="0"/>
      <w:marTop w:val="0"/>
      <w:marBottom w:val="0"/>
      <w:divBdr>
        <w:top w:val="none" w:sz="0" w:space="0" w:color="auto"/>
        <w:left w:val="none" w:sz="0" w:space="0" w:color="auto"/>
        <w:bottom w:val="none" w:sz="0" w:space="0" w:color="auto"/>
        <w:right w:val="none" w:sz="0" w:space="0" w:color="auto"/>
      </w:divBdr>
      <w:divsChild>
        <w:div w:id="1190483659">
          <w:marLeft w:val="720"/>
          <w:marRight w:val="0"/>
          <w:marTop w:val="240"/>
          <w:marBottom w:val="0"/>
          <w:divBdr>
            <w:top w:val="none" w:sz="0" w:space="0" w:color="auto"/>
            <w:left w:val="none" w:sz="0" w:space="0" w:color="auto"/>
            <w:bottom w:val="none" w:sz="0" w:space="0" w:color="auto"/>
            <w:right w:val="none" w:sz="0" w:space="0" w:color="auto"/>
          </w:divBdr>
        </w:div>
        <w:div w:id="590704593">
          <w:marLeft w:val="720"/>
          <w:marRight w:val="0"/>
          <w:marTop w:val="240"/>
          <w:marBottom w:val="0"/>
          <w:divBdr>
            <w:top w:val="none" w:sz="0" w:space="0" w:color="auto"/>
            <w:left w:val="none" w:sz="0" w:space="0" w:color="auto"/>
            <w:bottom w:val="none" w:sz="0" w:space="0" w:color="auto"/>
            <w:right w:val="none" w:sz="0" w:space="0" w:color="auto"/>
          </w:divBdr>
        </w:div>
        <w:div w:id="1113287599">
          <w:marLeft w:val="720"/>
          <w:marRight w:val="0"/>
          <w:marTop w:val="240"/>
          <w:marBottom w:val="0"/>
          <w:divBdr>
            <w:top w:val="none" w:sz="0" w:space="0" w:color="auto"/>
            <w:left w:val="none" w:sz="0" w:space="0" w:color="auto"/>
            <w:bottom w:val="none" w:sz="0" w:space="0" w:color="auto"/>
            <w:right w:val="none" w:sz="0" w:space="0" w:color="auto"/>
          </w:divBdr>
        </w:div>
        <w:div w:id="181667808">
          <w:marLeft w:val="720"/>
          <w:marRight w:val="0"/>
          <w:marTop w:val="240"/>
          <w:marBottom w:val="0"/>
          <w:divBdr>
            <w:top w:val="none" w:sz="0" w:space="0" w:color="auto"/>
            <w:left w:val="none" w:sz="0" w:space="0" w:color="auto"/>
            <w:bottom w:val="none" w:sz="0" w:space="0" w:color="auto"/>
            <w:right w:val="none" w:sz="0" w:space="0" w:color="auto"/>
          </w:divBdr>
        </w:div>
        <w:div w:id="640228450">
          <w:marLeft w:val="720"/>
          <w:marRight w:val="0"/>
          <w:marTop w:val="240"/>
          <w:marBottom w:val="0"/>
          <w:divBdr>
            <w:top w:val="none" w:sz="0" w:space="0" w:color="auto"/>
            <w:left w:val="none" w:sz="0" w:space="0" w:color="auto"/>
            <w:bottom w:val="none" w:sz="0" w:space="0" w:color="auto"/>
            <w:right w:val="none" w:sz="0" w:space="0" w:color="auto"/>
          </w:divBdr>
        </w:div>
      </w:divsChild>
    </w:div>
    <w:div w:id="1645890163">
      <w:bodyDiv w:val="1"/>
      <w:marLeft w:val="0"/>
      <w:marRight w:val="0"/>
      <w:marTop w:val="0"/>
      <w:marBottom w:val="0"/>
      <w:divBdr>
        <w:top w:val="none" w:sz="0" w:space="0" w:color="auto"/>
        <w:left w:val="none" w:sz="0" w:space="0" w:color="auto"/>
        <w:bottom w:val="none" w:sz="0" w:space="0" w:color="auto"/>
        <w:right w:val="none" w:sz="0" w:space="0" w:color="auto"/>
      </w:divBdr>
      <w:divsChild>
        <w:div w:id="1747416741">
          <w:marLeft w:val="1080"/>
          <w:marRight w:val="0"/>
          <w:marTop w:val="240"/>
          <w:marBottom w:val="0"/>
          <w:divBdr>
            <w:top w:val="none" w:sz="0" w:space="0" w:color="auto"/>
            <w:left w:val="none" w:sz="0" w:space="0" w:color="auto"/>
            <w:bottom w:val="none" w:sz="0" w:space="0" w:color="auto"/>
            <w:right w:val="none" w:sz="0" w:space="0" w:color="auto"/>
          </w:divBdr>
        </w:div>
        <w:div w:id="1855219848">
          <w:marLeft w:val="1080"/>
          <w:marRight w:val="0"/>
          <w:marTop w:val="240"/>
          <w:marBottom w:val="120"/>
          <w:divBdr>
            <w:top w:val="none" w:sz="0" w:space="0" w:color="auto"/>
            <w:left w:val="none" w:sz="0" w:space="0" w:color="auto"/>
            <w:bottom w:val="none" w:sz="0" w:space="0" w:color="auto"/>
            <w:right w:val="none" w:sz="0" w:space="0" w:color="auto"/>
          </w:divBdr>
        </w:div>
      </w:divsChild>
    </w:div>
    <w:div w:id="1792672956">
      <w:bodyDiv w:val="1"/>
      <w:marLeft w:val="0"/>
      <w:marRight w:val="0"/>
      <w:marTop w:val="0"/>
      <w:marBottom w:val="0"/>
      <w:divBdr>
        <w:top w:val="none" w:sz="0" w:space="0" w:color="auto"/>
        <w:left w:val="none" w:sz="0" w:space="0" w:color="auto"/>
        <w:bottom w:val="none" w:sz="0" w:space="0" w:color="auto"/>
        <w:right w:val="none" w:sz="0" w:space="0" w:color="auto"/>
      </w:divBdr>
      <w:divsChild>
        <w:div w:id="951127429">
          <w:marLeft w:val="274"/>
          <w:marRight w:val="0"/>
          <w:marTop w:val="0"/>
          <w:marBottom w:val="0"/>
          <w:divBdr>
            <w:top w:val="none" w:sz="0" w:space="0" w:color="auto"/>
            <w:left w:val="none" w:sz="0" w:space="0" w:color="auto"/>
            <w:bottom w:val="none" w:sz="0" w:space="0" w:color="auto"/>
            <w:right w:val="none" w:sz="0" w:space="0" w:color="auto"/>
          </w:divBdr>
        </w:div>
        <w:div w:id="1552572401">
          <w:marLeft w:val="274"/>
          <w:marRight w:val="0"/>
          <w:marTop w:val="0"/>
          <w:marBottom w:val="0"/>
          <w:divBdr>
            <w:top w:val="none" w:sz="0" w:space="0" w:color="auto"/>
            <w:left w:val="none" w:sz="0" w:space="0" w:color="auto"/>
            <w:bottom w:val="none" w:sz="0" w:space="0" w:color="auto"/>
            <w:right w:val="none" w:sz="0" w:space="0" w:color="auto"/>
          </w:divBdr>
        </w:div>
        <w:div w:id="1040667466">
          <w:marLeft w:val="274"/>
          <w:marRight w:val="0"/>
          <w:marTop w:val="0"/>
          <w:marBottom w:val="0"/>
          <w:divBdr>
            <w:top w:val="none" w:sz="0" w:space="0" w:color="auto"/>
            <w:left w:val="none" w:sz="0" w:space="0" w:color="auto"/>
            <w:bottom w:val="none" w:sz="0" w:space="0" w:color="auto"/>
            <w:right w:val="none" w:sz="0" w:space="0" w:color="auto"/>
          </w:divBdr>
        </w:div>
      </w:divsChild>
    </w:div>
    <w:div w:id="1855803003">
      <w:bodyDiv w:val="1"/>
      <w:marLeft w:val="0"/>
      <w:marRight w:val="0"/>
      <w:marTop w:val="0"/>
      <w:marBottom w:val="0"/>
      <w:divBdr>
        <w:top w:val="none" w:sz="0" w:space="0" w:color="auto"/>
        <w:left w:val="none" w:sz="0" w:space="0" w:color="auto"/>
        <w:bottom w:val="none" w:sz="0" w:space="0" w:color="auto"/>
        <w:right w:val="none" w:sz="0" w:space="0" w:color="auto"/>
      </w:divBdr>
      <w:divsChild>
        <w:div w:id="436608976">
          <w:marLeft w:val="360"/>
          <w:marRight w:val="0"/>
          <w:marTop w:val="240"/>
          <w:marBottom w:val="0"/>
          <w:divBdr>
            <w:top w:val="none" w:sz="0" w:space="0" w:color="auto"/>
            <w:left w:val="none" w:sz="0" w:space="0" w:color="auto"/>
            <w:bottom w:val="none" w:sz="0" w:space="0" w:color="auto"/>
            <w:right w:val="none" w:sz="0" w:space="0" w:color="auto"/>
          </w:divBdr>
        </w:div>
      </w:divsChild>
    </w:div>
    <w:div w:id="1946568903">
      <w:bodyDiv w:val="1"/>
      <w:marLeft w:val="0"/>
      <w:marRight w:val="0"/>
      <w:marTop w:val="0"/>
      <w:marBottom w:val="0"/>
      <w:divBdr>
        <w:top w:val="none" w:sz="0" w:space="0" w:color="auto"/>
        <w:left w:val="none" w:sz="0" w:space="0" w:color="auto"/>
        <w:bottom w:val="none" w:sz="0" w:space="0" w:color="auto"/>
        <w:right w:val="none" w:sz="0" w:space="0" w:color="auto"/>
      </w:divBdr>
      <w:divsChild>
        <w:div w:id="1646231113">
          <w:marLeft w:val="274"/>
          <w:marRight w:val="0"/>
          <w:marTop w:val="0"/>
          <w:marBottom w:val="0"/>
          <w:divBdr>
            <w:top w:val="none" w:sz="0" w:space="0" w:color="auto"/>
            <w:left w:val="none" w:sz="0" w:space="0" w:color="auto"/>
            <w:bottom w:val="none" w:sz="0" w:space="0" w:color="auto"/>
            <w:right w:val="none" w:sz="0" w:space="0" w:color="auto"/>
          </w:divBdr>
        </w:div>
        <w:div w:id="97918407">
          <w:marLeft w:val="274"/>
          <w:marRight w:val="0"/>
          <w:marTop w:val="0"/>
          <w:marBottom w:val="0"/>
          <w:divBdr>
            <w:top w:val="none" w:sz="0" w:space="0" w:color="auto"/>
            <w:left w:val="none" w:sz="0" w:space="0" w:color="auto"/>
            <w:bottom w:val="none" w:sz="0" w:space="0" w:color="auto"/>
            <w:right w:val="none" w:sz="0" w:space="0" w:color="auto"/>
          </w:divBdr>
        </w:div>
        <w:div w:id="1214463577">
          <w:marLeft w:val="274"/>
          <w:marRight w:val="0"/>
          <w:marTop w:val="0"/>
          <w:marBottom w:val="0"/>
          <w:divBdr>
            <w:top w:val="none" w:sz="0" w:space="0" w:color="auto"/>
            <w:left w:val="none" w:sz="0" w:space="0" w:color="auto"/>
            <w:bottom w:val="none" w:sz="0" w:space="0" w:color="auto"/>
            <w:right w:val="none" w:sz="0" w:space="0" w:color="auto"/>
          </w:divBdr>
        </w:div>
      </w:divsChild>
    </w:div>
    <w:div w:id="1953784000">
      <w:bodyDiv w:val="1"/>
      <w:marLeft w:val="0"/>
      <w:marRight w:val="0"/>
      <w:marTop w:val="0"/>
      <w:marBottom w:val="0"/>
      <w:divBdr>
        <w:top w:val="none" w:sz="0" w:space="0" w:color="auto"/>
        <w:left w:val="none" w:sz="0" w:space="0" w:color="auto"/>
        <w:bottom w:val="none" w:sz="0" w:space="0" w:color="auto"/>
        <w:right w:val="none" w:sz="0" w:space="0" w:color="auto"/>
      </w:divBdr>
      <w:divsChild>
        <w:div w:id="1558323948">
          <w:marLeft w:val="360"/>
          <w:marRight w:val="0"/>
          <w:marTop w:val="240"/>
          <w:marBottom w:val="0"/>
          <w:divBdr>
            <w:top w:val="none" w:sz="0" w:space="0" w:color="auto"/>
            <w:left w:val="none" w:sz="0" w:space="0" w:color="auto"/>
            <w:bottom w:val="none" w:sz="0" w:space="0" w:color="auto"/>
            <w:right w:val="none" w:sz="0" w:space="0" w:color="auto"/>
          </w:divBdr>
        </w:div>
        <w:div w:id="194274875">
          <w:marLeft w:val="720"/>
          <w:marRight w:val="0"/>
          <w:marTop w:val="240"/>
          <w:marBottom w:val="0"/>
          <w:divBdr>
            <w:top w:val="none" w:sz="0" w:space="0" w:color="auto"/>
            <w:left w:val="none" w:sz="0" w:space="0" w:color="auto"/>
            <w:bottom w:val="none" w:sz="0" w:space="0" w:color="auto"/>
            <w:right w:val="none" w:sz="0" w:space="0" w:color="auto"/>
          </w:divBdr>
        </w:div>
        <w:div w:id="1356224568">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ment-solutions.mercer.com/content/dam/mercer-subdomains/delegated-solutions/CorporatePolicies/Mercer%20ISE%20Stewardship%20Policy.pdf" TargetMode="External"/><Relationship Id="rId18" Type="http://schemas.openxmlformats.org/officeDocument/2006/relationships/hyperlink" Target="https://investment-solutions.mercer.com/content/dam/mercer-subdomains/delegated-solutions/CorporatePolicies/Task%20Force%20on%20Climate-related%20Financial%20Disclosur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vestment-solutions.mercer.com/content/dam/mercer-subdomains/delegated-solutions/CorporatePolicies/Sustainability%20Policy.pdf" TargetMode="External"/><Relationship Id="rId17" Type="http://schemas.openxmlformats.org/officeDocument/2006/relationships/hyperlink" Target="https://investment-solutions.mercer.com/content/dam/mercer-subdomains/delegated-solutions/CorporatePolicies/Mercer%20ISE%20Sustainability%20Polic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derlead.co.uk/uploads/documentsearch/id60/24.05%20Calder%20SIP%20Update%20May%202024_clean%20-%20approved.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m.landg.com/asset/499590/globalassets/lgim/_document-library/responsible-investing/active-ownership-2024-long-report.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vestment-solutions.mercer.com/content/dam/mercer-subdomains/delegated-solutions/CorporatePolicies/Mercer%20ISE%20Stewardship%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vestment-solutions.mercer.com/content/dam/mercer-subdomains/delegated-solutions/responsible-investment/Mercer%20IS%202024%20Sustainability%20and%20Stewardship%20Report_F.pd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MC%20Templates\Templates\FormattedDocument.dotx" TargetMode="External"/></Relationships>
</file>

<file path=word/theme/theme1.xml><?xml version="1.0" encoding="utf-8"?>
<a:theme xmlns:a="http://schemas.openxmlformats.org/drawingml/2006/main" name="Office Theme">
  <a:themeElements>
    <a:clrScheme name="Office">
      <a:dk1>
        <a:srgbClr val="003865"/>
      </a:dk1>
      <a:lt1>
        <a:srgbClr val="FFFFFF"/>
      </a:lt1>
      <a:dk2>
        <a:srgbClr val="868D95"/>
      </a:dk2>
      <a:lt2>
        <a:srgbClr val="B9BFC7"/>
      </a:lt2>
      <a:accent1>
        <a:srgbClr val="009DE0"/>
      </a:accent1>
      <a:accent2>
        <a:srgbClr val="00AC41"/>
      </a:accent2>
      <a:accent3>
        <a:srgbClr val="8246AF"/>
      </a:accent3>
      <a:accent4>
        <a:srgbClr val="00968F"/>
      </a:accent4>
      <a:accent5>
        <a:srgbClr val="0077A0"/>
      </a:accent5>
      <a:accent6>
        <a:srgbClr val="EE3D8B"/>
      </a:accent6>
      <a:hlink>
        <a:srgbClr val="003865"/>
      </a:hlink>
      <a:folHlink>
        <a:srgbClr val="009D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31431d-b977-40fc-9f47-16e32e320a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8F8338864C44CA522F9F027B4E8A7" ma:contentTypeVersion="14" ma:contentTypeDescription="Create a new document." ma:contentTypeScope="" ma:versionID="d80e0ddfaeb5fddf36185b8443c674a3">
  <xsd:schema xmlns:xsd="http://www.w3.org/2001/XMLSchema" xmlns:xs="http://www.w3.org/2001/XMLSchema" xmlns:p="http://schemas.microsoft.com/office/2006/metadata/properties" xmlns:ns3="59a44cc6-7cbf-4c12-b16d-aa59c321bbca" xmlns:ns4="5031431d-b977-40fc-9f47-16e32e320a96" targetNamespace="http://schemas.microsoft.com/office/2006/metadata/properties" ma:root="true" ma:fieldsID="017c0d807aa592612b9a3dabe02ddfb3" ns3:_="" ns4:_="">
    <xsd:import namespace="59a44cc6-7cbf-4c12-b16d-aa59c321bbca"/>
    <xsd:import namespace="5031431d-b977-40fc-9f47-16e32e320a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4cc6-7cbf-4c12-b16d-aa59c321bb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1431d-b977-40fc-9f47-16e32e320a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963EB-C9FE-4EBE-AFCF-3324A570F07A}">
  <ds:schemaRefs>
    <ds:schemaRef ds:uri="http://schemas.microsoft.com/sharepoint/v3/contenttype/forms"/>
  </ds:schemaRefs>
</ds:datastoreItem>
</file>

<file path=customXml/itemProps2.xml><?xml version="1.0" encoding="utf-8"?>
<ds:datastoreItem xmlns:ds="http://schemas.openxmlformats.org/officeDocument/2006/customXml" ds:itemID="{4FBBA6FD-E8E3-4121-95CE-724F08B238F5}">
  <ds:schemaRefs>
    <ds:schemaRef ds:uri="http://schemas.microsoft.com/office/2006/metadata/properties"/>
    <ds:schemaRef ds:uri="http://schemas.microsoft.com/office/infopath/2007/PartnerControls"/>
    <ds:schemaRef ds:uri="5031431d-b977-40fc-9f47-16e32e320a96"/>
  </ds:schemaRefs>
</ds:datastoreItem>
</file>

<file path=customXml/itemProps3.xml><?xml version="1.0" encoding="utf-8"?>
<ds:datastoreItem xmlns:ds="http://schemas.openxmlformats.org/officeDocument/2006/customXml" ds:itemID="{0FA52665-2927-4FB2-8D5B-2D47BEA37C4F}">
  <ds:schemaRefs>
    <ds:schemaRef ds:uri="http://schemas.openxmlformats.org/officeDocument/2006/bibliography"/>
  </ds:schemaRefs>
</ds:datastoreItem>
</file>

<file path=customXml/itemProps4.xml><?xml version="1.0" encoding="utf-8"?>
<ds:datastoreItem xmlns:ds="http://schemas.openxmlformats.org/officeDocument/2006/customXml" ds:itemID="{E351AF97-8769-408D-B1A0-C78D1482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4cc6-7cbf-4c12-b16d-aa59c321bbca"/>
    <ds:schemaRef ds:uri="5031431d-b977-40fc-9f47-16e32e32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FormattedDocument.dotx</Template>
  <TotalTime>0</TotalTime>
  <Pages>13</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Implementation Statements on SIP Policies and Engagement Policy</vt:lpstr>
    </vt:vector>
  </TitlesOfParts>
  <Company>Mercer (US) Inc.</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Statements on SIP Policies and Engagement Policy</dc:title>
  <dc:creator>First Last Name</dc:creator>
  <dc:description>MMC Templates
Marsh &amp; McLennan Companies</dc:description>
  <cp:lastModifiedBy>Rebecca Griffiths</cp:lastModifiedBy>
  <cp:revision>2</cp:revision>
  <cp:lastPrinted>2021-03-02T11:53:00Z</cp:lastPrinted>
  <dcterms:created xsi:type="dcterms:W3CDTF">2026-03-30T08:30:00Z</dcterms:created>
  <dcterms:modified xsi:type="dcterms:W3CDTF">2026-03-30T08:30:00Z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Template">
    <vt:lpwstr>FormattedDocument</vt:lpwstr>
  </property>
  <property fmtid="{D5CDD505-2E9C-101B-9397-08002B2CF9AE}" pid="4" name="MMCOA_PaperResize">
    <vt:lpwstr>Standard</vt:lpwstr>
  </property>
  <property fmtid="{D5CDD505-2E9C-101B-9397-08002B2CF9AE}" pid="5" name="MMCOA_TemplateVersion">
    <vt:lpwstr>8.0</vt:lpwstr>
  </property>
  <property fmtid="{D5CDD505-2E9C-101B-9397-08002B2CF9AE}" pid="6" name="MMCOA_Redate">
    <vt:lpwstr> </vt:lpwstr>
  </property>
  <property fmtid="{D5CDD505-2E9C-101B-9397-08002B2CF9AE}" pid="7" name="MMCOA_UI_Language">
    <vt:lpwstr>en-GB</vt:lpwstr>
  </property>
  <property fmtid="{D5CDD505-2E9C-101B-9397-08002B2CF9AE}" pid="8" name="MMCOA_BaseCo">
    <vt:lpwstr>MER</vt:lpwstr>
  </property>
  <property fmtid="{D5CDD505-2E9C-101B-9397-08002B2CF9AE}" pid="9" name="MMCOA_Brand">
    <vt:lpwstr>MER2020</vt:lpwstr>
  </property>
  <property fmtid="{D5CDD505-2E9C-101B-9397-08002B2CF9AE}" pid="10" name="MMCOA_Language">
    <vt:lpwstr>en-US</vt:lpwstr>
  </property>
  <property fmtid="{D5CDD505-2E9C-101B-9397-08002B2CF9AE}" pid="11" name="MMCOA_LanguageDateFormat">
    <vt:lpwstr>MMMM d, yyyy</vt:lpwstr>
  </property>
  <property fmtid="{D5CDD505-2E9C-101B-9397-08002B2CF9AE}" pid="12" name="MMCOA_BaseStyle">
    <vt:lpwstr>Base</vt:lpwstr>
  </property>
  <property fmtid="{D5CDD505-2E9C-101B-9397-08002B2CF9AE}" pid="13" name="MMCOA_BaseBoldStyle">
    <vt:lpwstr>Base Bold</vt:lpwstr>
  </property>
  <property fmtid="{D5CDD505-2E9C-101B-9397-08002B2CF9AE}" pid="14" name="MMCOA_StyleKeyBindings">
    <vt:lpwstr>NormalþList BulletþList Bullet 2þList Bullet 3þList Bullet 4þHeading 1þHeading 2þHeading 3þNormal Indent 1þNormal Indent 2þNormal Indent 3þNormal Indent 4þList NumberþList Number 2þList Number 3þList </vt:lpwstr>
  </property>
  <property fmtid="{D5CDD505-2E9C-101B-9397-08002B2CF9AE}" pid="15" name="MMCOA_StyleKeyBindings2">
    <vt:lpwstr>Number 4þHeading Number 1þHeading Number 2þHeading Number 3þHeading Number 4</vt:lpwstr>
  </property>
  <property fmtid="{D5CDD505-2E9C-101B-9397-08002B2CF9AE}" pid="16" name="MMCOA_StyleKeyBindingsKeys">
    <vt:lpwstr>846þ1590þ1591þ1592þ1593þ1585þ1586þ1587þ1653þ1654þ1655þ1656þ1648þ1649þ1650þ1651þ817þ818þ819þ821</vt:lpwstr>
  </property>
  <property fmtid="{D5CDD505-2E9C-101B-9397-08002B2CF9AE}" pid="17" name="MMCOA_TableStyles">
    <vt:lpwstr>Table Heading Text;Table Text</vt:lpwstr>
  </property>
  <property fmtid="{D5CDD505-2E9C-101B-9397-08002B2CF9AE}" pid="18" name="_NewReviewCycle">
    <vt:lpwstr/>
  </property>
  <property fmtid="{D5CDD505-2E9C-101B-9397-08002B2CF9AE}" pid="19" name="ContentTypeId">
    <vt:lpwstr>0x0101004458F8338864C44CA522F9F027B4E8A7</vt:lpwstr>
  </property>
  <property fmtid="{D5CDD505-2E9C-101B-9397-08002B2CF9AE}" pid="20" name="_dlc_DocIdItemGuid">
    <vt:lpwstr>655789a2-60de-4e14-8d21-14f39016b2f8</vt:lpwstr>
  </property>
  <property fmtid="{D5CDD505-2E9C-101B-9397-08002B2CF9AE}" pid="21" name="Countries">
    <vt:lpwstr>98;#United Kingdom|0d0cd8b3-cc66-4e6a-a7bd-1780997bc555</vt:lpwstr>
  </property>
  <property fmtid="{D5CDD505-2E9C-101B-9397-08002B2CF9AE}" pid="22" name="SolutionPortfolios">
    <vt:lpwstr/>
  </property>
  <property fmtid="{D5CDD505-2E9C-101B-9397-08002B2CF9AE}" pid="23" name="Disclaimer">
    <vt:lpwstr>3077;#Internal Use Only|f8dda801-fbda-438d-9497-510bf209c143</vt:lpwstr>
  </property>
  <property fmtid="{D5CDD505-2E9C-101B-9397-08002B2CF9AE}" pid="24" name="Activity">
    <vt:lpwstr>89;#Deliver solution|0079e54a-1df6-4535-bb19-223c54542a90</vt:lpwstr>
  </property>
  <property fmtid="{D5CDD505-2E9C-101B-9397-08002B2CF9AE}" pid="25" name="Region">
    <vt:lpwstr>5888;#United Kingdom|afef8ffd-2ba8-4644-8ac9-5a3182b028c8</vt:lpwstr>
  </property>
  <property fmtid="{D5CDD505-2E9C-101B-9397-08002B2CF9AE}" pid="26" name="SiteDestinations">
    <vt:lpwstr>6459;#Wealth UK : Statements of Investment Principles|f158963a-2840-482d-b2a9-c1489d81936e</vt:lpwstr>
  </property>
  <property fmtid="{D5CDD505-2E9C-101B-9397-08002B2CF9AE}" pid="27" name="Industries">
    <vt:lpwstr/>
  </property>
  <property fmtid="{D5CDD505-2E9C-101B-9397-08002B2CF9AE}" pid="28" name="LOBs">
    <vt:lpwstr>4322;#Wealth UK|070138c5-ad47-4510-8b9c-ed7911fcf980</vt:lpwstr>
  </property>
  <property fmtid="{D5CDD505-2E9C-101B-9397-08002B2CF9AE}" pid="29" name="Languages">
    <vt:lpwstr>31;#English|6cbd0285-a6f5-4334-a5df-890e3770f5a6</vt:lpwstr>
  </property>
  <property fmtid="{D5CDD505-2E9C-101B-9397-08002B2CF9AE}" pid="30" name="AssetType">
    <vt:lpwstr>5751;#Consulting guide|451fe201-c163-4fe3-9dfb-bef223f96bcc</vt:lpwstr>
  </property>
  <property fmtid="{D5CDD505-2E9C-101B-9397-08002B2CF9AE}" pid="31" name="StandardDestinations">
    <vt:lpwstr/>
  </property>
  <property fmtid="{D5CDD505-2E9C-101B-9397-08002B2CF9AE}" pid="32" name="MSIP_Label_38f1469a-2c2a-4aee-b92b-090d4c5468ff_Enabled">
    <vt:lpwstr>true</vt:lpwstr>
  </property>
  <property fmtid="{D5CDD505-2E9C-101B-9397-08002B2CF9AE}" pid="33" name="MSIP_Label_38f1469a-2c2a-4aee-b92b-090d4c5468ff_SetDate">
    <vt:lpwstr>2021-08-24T09:24:33Z</vt:lpwstr>
  </property>
  <property fmtid="{D5CDD505-2E9C-101B-9397-08002B2CF9AE}" pid="34" name="MSIP_Label_38f1469a-2c2a-4aee-b92b-090d4c5468ff_Method">
    <vt:lpwstr>Standard</vt:lpwstr>
  </property>
  <property fmtid="{D5CDD505-2E9C-101B-9397-08002B2CF9AE}" pid="35" name="MSIP_Label_38f1469a-2c2a-4aee-b92b-090d4c5468ff_Name">
    <vt:lpwstr>Confidential - Unmarked</vt:lpwstr>
  </property>
  <property fmtid="{D5CDD505-2E9C-101B-9397-08002B2CF9AE}" pid="36" name="MSIP_Label_38f1469a-2c2a-4aee-b92b-090d4c5468ff_SiteId">
    <vt:lpwstr>2a6e6092-73e4-4752-b1a5-477a17f5056d</vt:lpwstr>
  </property>
  <property fmtid="{D5CDD505-2E9C-101B-9397-08002B2CF9AE}" pid="37" name="MSIP_Label_38f1469a-2c2a-4aee-b92b-090d4c5468ff_ActionId">
    <vt:lpwstr>7eb6ad47-41bc-4579-80ca-f6bb8a90ad14</vt:lpwstr>
  </property>
  <property fmtid="{D5CDD505-2E9C-101B-9397-08002B2CF9AE}" pid="38" name="MSIP_Label_38f1469a-2c2a-4aee-b92b-090d4c5468ff_ContentBits">
    <vt:lpwstr>0</vt:lpwstr>
  </property>
  <property fmtid="{D5CDD505-2E9C-101B-9397-08002B2CF9AE}" pid="39" name="MPR_DocID">
    <vt:lpwstr>1022fa3c54cc4631b2b3b51ea9c801d0</vt:lpwstr>
  </property>
</Properties>
</file>